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F91BCD">
      <w:pPr>
        <w:spacing w:before="120" w:after="120"/>
        <w:jc w:val="center"/>
        <w:rPr>
          <w:rFonts w:hint="eastAsia" w:ascii="黑体" w:eastAsia="黑体"/>
          <w:sz w:val="36"/>
          <w:szCs w:val="36"/>
        </w:rPr>
      </w:pPr>
      <w:r>
        <w:rPr>
          <w:rFonts w:hint="eastAsia" w:ascii="黑体" w:eastAsia="黑体"/>
          <w:sz w:val="36"/>
          <w:szCs w:val="36"/>
        </w:rPr>
        <w:t>冠昊生物科技股份有限公司</w:t>
      </w:r>
    </w:p>
    <w:p w14:paraId="49AC4789">
      <w:pPr>
        <w:spacing w:before="120" w:after="120"/>
        <w:jc w:val="center"/>
        <w:rPr>
          <w:rFonts w:hint="eastAsia" w:ascii="黑体" w:eastAsia="黑体"/>
          <w:sz w:val="36"/>
          <w:szCs w:val="36"/>
        </w:rPr>
      </w:pPr>
      <w:r>
        <w:rPr>
          <w:rFonts w:hint="eastAsia" w:ascii="黑体" w:eastAsia="黑体"/>
          <w:sz w:val="36"/>
          <w:szCs w:val="36"/>
        </w:rPr>
        <w:t>投资者关系管理制度</w:t>
      </w:r>
    </w:p>
    <w:p w14:paraId="71413838">
      <w:pPr>
        <w:pStyle w:val="2"/>
        <w:spacing w:before="120" w:beforeLines="50" w:after="120" w:afterLines="50" w:line="500" w:lineRule="exact"/>
        <w:ind w:right="231" w:firstLine="482" w:firstLineChars="200"/>
        <w:jc w:val="center"/>
        <w:rPr>
          <w:rFonts w:hint="eastAsia"/>
          <w:color w:val="000000" w:themeColor="text1"/>
          <w:spacing w:val="-5"/>
          <w:sz w:val="24"/>
          <w:szCs w:val="24"/>
          <w:lang w:val="en-US"/>
        </w:rPr>
      </w:pPr>
      <w:r>
        <w:rPr>
          <w:rFonts w:hint="eastAsia" w:ascii="Times New Roman" w:hAnsi="Times New Roman" w:cs="Times New Roman"/>
          <w:color w:val="000000" w:themeColor="text1"/>
          <w:sz w:val="24"/>
          <w:szCs w:val="24"/>
          <w:lang w:val="en-US"/>
        </w:rPr>
        <w:t>第一章  总  则</w:t>
      </w:r>
    </w:p>
    <w:p w14:paraId="6E16BA4C">
      <w:pPr>
        <w:pStyle w:val="4"/>
        <w:numPr>
          <w:ilvl w:val="0"/>
          <w:numId w:val="1"/>
        </w:numPr>
        <w:tabs>
          <w:tab w:val="left" w:pos="1581"/>
        </w:tabs>
        <w:autoSpaceDE/>
        <w:autoSpaceDN/>
        <w:spacing w:before="120" w:beforeLines="50" w:after="120" w:afterLines="50" w:line="500" w:lineRule="exact"/>
        <w:ind w:left="0" w:firstLine="460" w:firstLineChars="200"/>
        <w:rPr>
          <w:rFonts w:hint="eastAsia"/>
        </w:rPr>
      </w:pPr>
      <w:r>
        <w:rPr>
          <w:spacing w:val="-5"/>
        </w:rPr>
        <w:t xml:space="preserve"> </w:t>
      </w:r>
      <w:r>
        <w:rPr>
          <w:rFonts w:hint="eastAsia"/>
          <w:spacing w:val="-5"/>
          <w:lang w:val="en-US"/>
        </w:rPr>
        <w:t xml:space="preserve"> </w:t>
      </w:r>
      <w:r>
        <w:rPr>
          <w:spacing w:val="-5"/>
        </w:rPr>
        <w:t>为</w:t>
      </w:r>
      <w:r>
        <w:rPr>
          <w:rFonts w:hint="eastAsia"/>
          <w:spacing w:val="-5"/>
          <w:lang w:val="en-US"/>
        </w:rPr>
        <w:t>进一步</w:t>
      </w:r>
      <w:r>
        <w:rPr>
          <w:spacing w:val="-5"/>
        </w:rPr>
        <w:t>完善冠昊生物科技股份有限公司</w:t>
      </w:r>
      <w:r>
        <w:rPr>
          <w:rFonts w:hint="eastAsia"/>
          <w:spacing w:val="-5"/>
        </w:rPr>
        <w:t>（</w:t>
      </w:r>
      <w:r>
        <w:rPr>
          <w:spacing w:val="-5"/>
        </w:rPr>
        <w:t>以下简称“公司”</w:t>
      </w:r>
      <w:r>
        <w:rPr>
          <w:rFonts w:hint="eastAsia"/>
          <w:spacing w:val="-5"/>
        </w:rPr>
        <w:t>）</w:t>
      </w:r>
      <w:r>
        <w:rPr>
          <w:spacing w:val="-5"/>
        </w:rPr>
        <w:t>治理结</w:t>
      </w:r>
      <w:r>
        <w:rPr>
          <w:spacing w:val="-1"/>
        </w:rPr>
        <w:t>构，规范公司投资者关系</w:t>
      </w:r>
      <w:r>
        <w:rPr>
          <w:rFonts w:hint="eastAsia"/>
          <w:spacing w:val="-1"/>
          <w:lang w:val="en-US"/>
        </w:rPr>
        <w:t>管理</w:t>
      </w:r>
      <w:r>
        <w:rPr>
          <w:spacing w:val="-1"/>
        </w:rPr>
        <w:t>工作，加强公司与投资者和潜在投资者</w:t>
      </w:r>
      <w:r>
        <w:rPr>
          <w:rFonts w:hint="eastAsia"/>
          <w:spacing w:val="-1"/>
        </w:rPr>
        <w:t>（</w:t>
      </w:r>
      <w:r>
        <w:rPr>
          <w:spacing w:val="-1"/>
        </w:rPr>
        <w:t>以下统称“投</w:t>
      </w:r>
      <w:r>
        <w:t>资者”</w:t>
      </w:r>
      <w:r>
        <w:rPr>
          <w:rFonts w:hint="eastAsia"/>
        </w:rPr>
        <w:t>）</w:t>
      </w:r>
      <w:r>
        <w:t>之间的信息沟通，切实保护投资者特别是</w:t>
      </w:r>
      <w:r>
        <w:rPr>
          <w:rFonts w:hint="eastAsia"/>
          <w:lang w:val="en-US"/>
        </w:rPr>
        <w:t>中小</w:t>
      </w:r>
      <w:r>
        <w:t>投资者的合法权</w:t>
      </w:r>
      <w:r>
        <w:rPr>
          <w:spacing w:val="-10"/>
        </w:rPr>
        <w:t>益，根据《公司法》《证券法》《上市公司投资者关系</w:t>
      </w:r>
      <w:r>
        <w:rPr>
          <w:rFonts w:hint="eastAsia"/>
          <w:spacing w:val="-10"/>
          <w:lang w:val="en-US"/>
        </w:rPr>
        <w:t>管理</w:t>
      </w:r>
      <w:r>
        <w:rPr>
          <w:spacing w:val="-10"/>
        </w:rPr>
        <w:t>工作指引》《深圳</w:t>
      </w:r>
      <w:r>
        <w:rPr>
          <w:spacing w:val="-15"/>
        </w:rPr>
        <w:t>证券交易所创业板股票上市规则》《深圳证券交易所</w:t>
      </w:r>
      <w:r>
        <w:rPr>
          <w:rFonts w:hint="eastAsia"/>
          <w:spacing w:val="-15"/>
          <w:lang w:val="en-US"/>
        </w:rPr>
        <w:t>上市公司自律监管指引第</w:t>
      </w:r>
      <w:r>
        <w:rPr>
          <w:rFonts w:ascii="Times New Roman" w:hAnsi="Times New Roman" w:cs="Times New Roman"/>
          <w:spacing w:val="-15"/>
          <w:lang w:val="en-US"/>
        </w:rPr>
        <w:t>2</w:t>
      </w:r>
      <w:r>
        <w:rPr>
          <w:rFonts w:hint="eastAsia"/>
          <w:spacing w:val="-15"/>
          <w:lang w:val="en-US"/>
        </w:rPr>
        <w:t>号——</w:t>
      </w:r>
      <w:r>
        <w:rPr>
          <w:spacing w:val="-15"/>
        </w:rPr>
        <w:t>创业板上市公司规范运作</w:t>
      </w:r>
      <w:r>
        <w:rPr>
          <w:spacing w:val="-11"/>
        </w:rPr>
        <w:t>》等法律法规</w:t>
      </w:r>
      <w:r>
        <w:rPr>
          <w:rFonts w:hint="eastAsia"/>
          <w:spacing w:val="-11"/>
        </w:rPr>
        <w:t>、</w:t>
      </w:r>
      <w:r>
        <w:rPr>
          <w:rFonts w:hint="eastAsia"/>
          <w:spacing w:val="-11"/>
          <w:lang w:val="en-US"/>
        </w:rPr>
        <w:t>规范性文件</w:t>
      </w:r>
      <w:r>
        <w:rPr>
          <w:spacing w:val="-11"/>
        </w:rPr>
        <w:t>及</w:t>
      </w:r>
      <w:r>
        <w:rPr>
          <w:rFonts w:hint="eastAsia"/>
          <w:spacing w:val="-11"/>
        </w:rPr>
        <w:t>《</w:t>
      </w:r>
      <w:r>
        <w:rPr>
          <w:spacing w:val="-11"/>
        </w:rPr>
        <w:t>公司章程</w:t>
      </w:r>
      <w:r>
        <w:rPr>
          <w:rFonts w:hint="eastAsia"/>
          <w:spacing w:val="-11"/>
        </w:rPr>
        <w:t>》</w:t>
      </w:r>
      <w:r>
        <w:rPr>
          <w:spacing w:val="-11"/>
        </w:rPr>
        <w:t>的</w:t>
      </w:r>
      <w:r>
        <w:rPr>
          <w:rFonts w:hint="eastAsia"/>
          <w:spacing w:val="-11"/>
          <w:lang w:val="en-US"/>
        </w:rPr>
        <w:t>有关</w:t>
      </w:r>
      <w:r>
        <w:rPr>
          <w:spacing w:val="-11"/>
        </w:rPr>
        <w:t>规定，结合公司实际，制订</w:t>
      </w:r>
      <w:r>
        <w:t>本制度。</w:t>
      </w:r>
    </w:p>
    <w:p w14:paraId="0B186A06">
      <w:pPr>
        <w:pStyle w:val="4"/>
        <w:numPr>
          <w:ilvl w:val="0"/>
          <w:numId w:val="1"/>
        </w:numPr>
        <w:tabs>
          <w:tab w:val="left" w:pos="1581"/>
        </w:tabs>
        <w:autoSpaceDE/>
        <w:autoSpaceDN/>
        <w:spacing w:before="120" w:beforeLines="50" w:after="120" w:afterLines="50" w:line="500" w:lineRule="exact"/>
        <w:ind w:left="0" w:firstLine="460" w:firstLineChars="200"/>
        <w:rPr>
          <w:rFonts w:hint="eastAsia"/>
        </w:rPr>
      </w:pPr>
      <w:r>
        <w:rPr>
          <w:spacing w:val="-5"/>
        </w:rPr>
        <w:t xml:space="preserve"> </w:t>
      </w:r>
      <w:r>
        <w:rPr>
          <w:rFonts w:hint="eastAsia"/>
          <w:spacing w:val="-5"/>
          <w:lang w:val="en-US"/>
        </w:rPr>
        <w:t xml:space="preserve"> </w:t>
      </w:r>
      <w:r>
        <w:rPr>
          <w:spacing w:val="-5"/>
        </w:rPr>
        <w:t>投资者关系</w:t>
      </w:r>
      <w:r>
        <w:rPr>
          <w:rFonts w:hint="eastAsia"/>
          <w:spacing w:val="-5"/>
          <w:lang w:val="en-US"/>
        </w:rPr>
        <w:t>管理</w:t>
      </w:r>
      <w:r>
        <w:rPr>
          <w:spacing w:val="-5"/>
        </w:rPr>
        <w:t>是指公司通过便利股东权利行使、信息披露</w:t>
      </w:r>
      <w:r>
        <w:rPr>
          <w:rFonts w:hint="eastAsia"/>
          <w:spacing w:val="-5"/>
        </w:rPr>
        <w:t>、</w:t>
      </w:r>
      <w:r>
        <w:rPr>
          <w:rFonts w:hint="eastAsia"/>
          <w:spacing w:val="-5"/>
          <w:lang w:val="en-US"/>
        </w:rPr>
        <w:t>互动</w:t>
      </w:r>
      <w:r>
        <w:rPr>
          <w:spacing w:val="-5"/>
        </w:rPr>
        <w:t>交流诉求处理等工作，加强与投资者之间</w:t>
      </w:r>
      <w:r>
        <w:rPr>
          <w:spacing w:val="-10"/>
        </w:rPr>
        <w:t>的沟通，增进投资者对公司的了解和认同，</w:t>
      </w:r>
      <w:r>
        <w:rPr>
          <w:rFonts w:hint="eastAsia"/>
          <w:spacing w:val="-10"/>
          <w:lang w:val="en-US"/>
        </w:rPr>
        <w:t>以</w:t>
      </w:r>
      <w:r>
        <w:rPr>
          <w:spacing w:val="-10"/>
        </w:rPr>
        <w:t>提升公司治理水平和企业整体价值，实现尊重投资者、回报投资者、保护投资者目的的相关活动。</w:t>
      </w:r>
    </w:p>
    <w:p w14:paraId="42A82E17">
      <w:pPr>
        <w:pStyle w:val="4"/>
        <w:numPr>
          <w:ilvl w:val="0"/>
          <w:numId w:val="1"/>
        </w:numPr>
        <w:tabs>
          <w:tab w:val="left" w:pos="1581"/>
        </w:tabs>
        <w:autoSpaceDE/>
        <w:autoSpaceDN/>
        <w:spacing w:before="120" w:beforeLines="50" w:after="120" w:afterLines="50" w:line="500" w:lineRule="exact"/>
        <w:ind w:left="0" w:firstLine="480" w:firstLineChars="200"/>
        <w:rPr>
          <w:rFonts w:hint="eastAsia"/>
          <w:lang w:val="en-US"/>
        </w:rPr>
      </w:pPr>
      <w:r>
        <w:rPr>
          <w:rFonts w:hint="eastAsia"/>
          <w:lang w:val="en-US"/>
        </w:rPr>
        <w:t xml:space="preserve">  公司开展投资者关系管理活动，应当以已公开披露信息作为交流内容，不得以任何方式透露或者泄露未公开披露的重大信息。</w:t>
      </w:r>
    </w:p>
    <w:p w14:paraId="48FCEDE4">
      <w:pPr>
        <w:pStyle w:val="4"/>
        <w:numPr>
          <w:ilvl w:val="255"/>
          <w:numId w:val="0"/>
        </w:numPr>
        <w:tabs>
          <w:tab w:val="left" w:pos="1581"/>
        </w:tabs>
        <w:autoSpaceDE/>
        <w:autoSpaceDN/>
        <w:spacing w:before="120" w:beforeLines="50" w:after="120" w:afterLines="50" w:line="500" w:lineRule="exact"/>
        <w:ind w:firstLine="480" w:firstLineChars="200"/>
        <w:rPr>
          <w:rFonts w:hint="eastAsia"/>
          <w:lang w:val="en-US"/>
        </w:rPr>
      </w:pPr>
      <w:r>
        <w:rPr>
          <w:rFonts w:hint="eastAsia"/>
          <w:lang w:val="en-US"/>
        </w:rPr>
        <w:t>投资者关系活动中涉及或者可能涉及股价敏感事项、未公开披露的重大信息或者可以推测出未公开披露的重大信息的提问的，公司应当告知投资者关注公司公告，并就信息披露规则进行必要的解释说明。</w:t>
      </w:r>
    </w:p>
    <w:p w14:paraId="2A3F0CE3">
      <w:pPr>
        <w:pStyle w:val="4"/>
        <w:numPr>
          <w:ilvl w:val="255"/>
          <w:numId w:val="0"/>
        </w:numPr>
        <w:tabs>
          <w:tab w:val="left" w:pos="1581"/>
        </w:tabs>
        <w:autoSpaceDE/>
        <w:autoSpaceDN/>
        <w:spacing w:before="120" w:beforeLines="50" w:after="120" w:afterLines="50" w:line="500" w:lineRule="exact"/>
        <w:ind w:firstLine="480" w:firstLineChars="200"/>
        <w:rPr>
          <w:rFonts w:hint="eastAsia"/>
          <w:lang w:val="en-US"/>
        </w:rPr>
      </w:pPr>
      <w:r>
        <w:rPr>
          <w:rFonts w:hint="eastAsia"/>
          <w:lang w:val="en-US"/>
        </w:rPr>
        <w:t>公司不得以投资者关系管理活动中的交流代替正式信息披露。公司在投资者关系管理活动中不慎泄露未公开披露的重大信息的，应当立即通过符合条件媒体发布公告，并采取其他必要措施。</w:t>
      </w:r>
    </w:p>
    <w:p w14:paraId="4FDE17C3">
      <w:pPr>
        <w:pStyle w:val="4"/>
        <w:numPr>
          <w:ilvl w:val="0"/>
          <w:numId w:val="1"/>
        </w:numPr>
        <w:tabs>
          <w:tab w:val="left" w:pos="1581"/>
        </w:tabs>
        <w:autoSpaceDE/>
        <w:autoSpaceDN/>
        <w:spacing w:before="120" w:beforeLines="50" w:after="120" w:afterLines="50" w:line="500" w:lineRule="exact"/>
        <w:ind w:left="0" w:firstLine="480" w:firstLineChars="200"/>
        <w:rPr>
          <w:rFonts w:hint="eastAsia"/>
        </w:rPr>
      </w:pPr>
      <w:r>
        <w:rPr>
          <w:rFonts w:hint="eastAsia"/>
          <w:lang w:val="en-US"/>
        </w:rPr>
        <w:t xml:space="preserve">  </w:t>
      </w:r>
      <w:r>
        <w:rPr>
          <w:rFonts w:hint="eastAsia"/>
        </w:rPr>
        <w:t>除非得到明确授权并经过培训，公司其他董事、高级管理人员和员工应当避免在投资者关系活动中代表公司发言。</w:t>
      </w:r>
    </w:p>
    <w:p w14:paraId="16426FA1">
      <w:pPr>
        <w:pStyle w:val="4"/>
        <w:numPr>
          <w:ilvl w:val="0"/>
          <w:numId w:val="1"/>
        </w:numPr>
        <w:tabs>
          <w:tab w:val="left" w:pos="1581"/>
        </w:tabs>
        <w:autoSpaceDE/>
        <w:autoSpaceDN/>
        <w:spacing w:before="120" w:beforeLines="50" w:after="120" w:afterLines="50" w:line="500" w:lineRule="exact"/>
        <w:ind w:left="0" w:firstLine="480" w:firstLineChars="200"/>
        <w:rPr>
          <w:rFonts w:hint="eastAsia"/>
        </w:rPr>
      </w:pPr>
      <w:r>
        <w:rPr>
          <w:rFonts w:hint="eastAsia"/>
          <w:lang w:val="en-US"/>
        </w:rPr>
        <w:t xml:space="preserve">  </w:t>
      </w:r>
      <w:r>
        <w:rPr>
          <w:rFonts w:hint="eastAsia"/>
        </w:rPr>
        <w:t>公司应当尽量避免在年度报告、半年度报告披露前</w:t>
      </w:r>
      <w:r>
        <w:rPr>
          <w:rFonts w:ascii="Times New Roman" w:hAnsi="Times New Roman" w:cs="Times New Roman"/>
          <w:lang w:val="en-US"/>
        </w:rPr>
        <w:t>30</w:t>
      </w:r>
      <w:r>
        <w:rPr>
          <w:rFonts w:hint="eastAsia"/>
        </w:rPr>
        <w:t>日内接受投资者现场调研、媒体采访等。</w:t>
      </w:r>
    </w:p>
    <w:p w14:paraId="0DC13A86">
      <w:pPr>
        <w:pStyle w:val="2"/>
        <w:autoSpaceDE/>
        <w:autoSpaceDN/>
        <w:spacing w:before="120" w:beforeLines="50" w:after="120" w:afterLines="50" w:line="500" w:lineRule="exact"/>
        <w:ind w:firstLine="482" w:firstLineChars="200"/>
        <w:jc w:val="center"/>
        <w:rPr>
          <w:rFonts w:hint="eastAsia"/>
          <w:sz w:val="24"/>
          <w:szCs w:val="24"/>
          <w:lang w:val="en-US"/>
        </w:rPr>
      </w:pPr>
      <w:r>
        <w:rPr>
          <w:rFonts w:hint="eastAsia" w:ascii="Times New Roman" w:hAnsi="Times New Roman" w:cs="Times New Roman"/>
          <w:sz w:val="24"/>
          <w:szCs w:val="24"/>
          <w:lang w:val="en-US"/>
        </w:rPr>
        <w:t xml:space="preserve">第二章  </w:t>
      </w:r>
      <w:r>
        <w:rPr>
          <w:rFonts w:hint="eastAsia" w:ascii="Times New Roman" w:hAnsi="Times New Roman" w:cs="Times New Roman"/>
          <w:color w:val="000000" w:themeColor="text1"/>
          <w:sz w:val="24"/>
          <w:szCs w:val="24"/>
          <w:lang w:val="en-US"/>
        </w:rPr>
        <w:t>投资者关系管理的基本原则和目的</w:t>
      </w:r>
    </w:p>
    <w:p w14:paraId="0DE59274">
      <w:pPr>
        <w:pStyle w:val="4"/>
        <w:numPr>
          <w:ilvl w:val="0"/>
          <w:numId w:val="1"/>
        </w:numPr>
        <w:tabs>
          <w:tab w:val="left" w:pos="1581"/>
        </w:tabs>
        <w:autoSpaceDE/>
        <w:autoSpaceDN/>
        <w:spacing w:before="120" w:beforeLines="50" w:after="120" w:afterLines="50" w:line="500" w:lineRule="exact"/>
        <w:ind w:left="0" w:firstLine="480" w:firstLineChars="200"/>
        <w:rPr>
          <w:rFonts w:hint="eastAsia"/>
        </w:rPr>
      </w:pPr>
      <w:r>
        <w:t xml:space="preserve"> </w:t>
      </w:r>
      <w:r>
        <w:rPr>
          <w:rFonts w:hint="eastAsia"/>
          <w:lang w:val="en-US"/>
        </w:rPr>
        <w:t xml:space="preserve"> </w:t>
      </w:r>
      <w:r>
        <w:t>投资者关系</w:t>
      </w:r>
      <w:r>
        <w:rPr>
          <w:rFonts w:hint="eastAsia"/>
          <w:lang w:val="en-US"/>
        </w:rPr>
        <w:t>管理</w:t>
      </w:r>
      <w:r>
        <w:t>的基本原则：</w:t>
      </w:r>
    </w:p>
    <w:p w14:paraId="3B302D07">
      <w:pPr>
        <w:pStyle w:val="4"/>
        <w:autoSpaceDE/>
        <w:autoSpaceDN/>
        <w:spacing w:before="120" w:beforeLines="50" w:after="120" w:afterLines="50" w:line="500" w:lineRule="exact"/>
        <w:ind w:left="0" w:firstLine="480" w:firstLineChars="200"/>
        <w:rPr>
          <w:rFonts w:hint="eastAsia"/>
        </w:rPr>
      </w:pPr>
      <w:r>
        <w:t>（一）合规性原则</w:t>
      </w:r>
      <w:r>
        <w:rPr>
          <w:rFonts w:hint="eastAsia"/>
        </w:rPr>
        <w:t>：</w:t>
      </w:r>
      <w:r>
        <w:t>公司投资者关系管理应当在依法履行信息披露义务的基础上开展，符合法律法规及规范性文件、行业规范和自律规则、公司内部规章制度，以及行业普遍遵守的道德规范和行为准则</w:t>
      </w:r>
      <w:r>
        <w:rPr>
          <w:rFonts w:hint="eastAsia"/>
        </w:rPr>
        <w:t>；</w:t>
      </w:r>
    </w:p>
    <w:p w14:paraId="423C4AEC">
      <w:pPr>
        <w:pStyle w:val="4"/>
        <w:autoSpaceDE/>
        <w:autoSpaceDN/>
        <w:spacing w:before="120" w:beforeLines="50" w:after="120" w:afterLines="50" w:line="500" w:lineRule="exact"/>
        <w:ind w:left="0" w:firstLine="480" w:firstLineChars="200"/>
        <w:rPr>
          <w:rFonts w:hint="eastAsia"/>
        </w:rPr>
      </w:pPr>
      <w:r>
        <w:t>（二）平等性原则</w:t>
      </w:r>
      <w:r>
        <w:rPr>
          <w:rFonts w:hint="eastAsia"/>
        </w:rPr>
        <w:t>：</w:t>
      </w:r>
      <w:r>
        <w:t>公司开展投资者关系管理活动，应当平等对待所有投资者，尤其为中小投资者参与活动创造机会、提供便利</w:t>
      </w:r>
      <w:r>
        <w:rPr>
          <w:rFonts w:hint="eastAsia"/>
        </w:rPr>
        <w:t>；</w:t>
      </w:r>
    </w:p>
    <w:p w14:paraId="1E13105C">
      <w:pPr>
        <w:pStyle w:val="4"/>
        <w:autoSpaceDE/>
        <w:autoSpaceDN/>
        <w:spacing w:before="120" w:beforeLines="50" w:after="120" w:afterLines="50" w:line="500" w:lineRule="exact"/>
        <w:ind w:left="0" w:firstLine="480" w:firstLineChars="200"/>
        <w:rPr>
          <w:rFonts w:hint="eastAsia"/>
        </w:rPr>
      </w:pPr>
      <w:r>
        <w:t>（三）主动性原则</w:t>
      </w:r>
      <w:r>
        <w:rPr>
          <w:rFonts w:hint="eastAsia"/>
        </w:rPr>
        <w:t>：</w:t>
      </w:r>
      <w:r>
        <w:t>公司应当主动开展投资者关系管理活动，听取投资者意见建议，及时回应投资者诉求</w:t>
      </w:r>
      <w:r>
        <w:rPr>
          <w:rFonts w:hint="eastAsia"/>
        </w:rPr>
        <w:t>；</w:t>
      </w:r>
    </w:p>
    <w:p w14:paraId="5C675DFB">
      <w:pPr>
        <w:pStyle w:val="4"/>
        <w:autoSpaceDE/>
        <w:autoSpaceDN/>
        <w:spacing w:before="120" w:beforeLines="50" w:after="120" w:afterLines="50" w:line="500" w:lineRule="exact"/>
        <w:ind w:left="0" w:firstLine="480" w:firstLineChars="200"/>
        <w:rPr>
          <w:rFonts w:hint="eastAsia"/>
        </w:rPr>
      </w:pPr>
      <w:r>
        <w:t>（四）诚实守信原则</w:t>
      </w:r>
      <w:r>
        <w:rPr>
          <w:rFonts w:hint="eastAsia"/>
        </w:rPr>
        <w:t>：</w:t>
      </w:r>
      <w:r>
        <w:t>公司在投资者关系管理活动中应当注重诚信、坚守底线、规范运作、担当责任，营造健康良好的市场生态。</w:t>
      </w:r>
    </w:p>
    <w:p w14:paraId="048D47BF">
      <w:pPr>
        <w:pStyle w:val="4"/>
        <w:numPr>
          <w:ilvl w:val="0"/>
          <w:numId w:val="1"/>
        </w:numPr>
        <w:tabs>
          <w:tab w:val="left" w:pos="1581"/>
        </w:tabs>
        <w:autoSpaceDE/>
        <w:autoSpaceDN/>
        <w:spacing w:before="120" w:beforeLines="50" w:after="120" w:afterLines="50" w:line="500" w:lineRule="exact"/>
        <w:ind w:left="0" w:firstLine="480" w:firstLineChars="200"/>
        <w:rPr>
          <w:rFonts w:hint="eastAsia"/>
        </w:rPr>
      </w:pPr>
      <w:r>
        <w:t xml:space="preserve"> </w:t>
      </w:r>
      <w:r>
        <w:rPr>
          <w:rFonts w:hint="eastAsia"/>
          <w:lang w:val="en-US"/>
        </w:rPr>
        <w:t xml:space="preserve"> </w:t>
      </w:r>
      <w:r>
        <w:t>投资者关系管理工作的目的：</w:t>
      </w:r>
    </w:p>
    <w:p w14:paraId="3B060A88">
      <w:pPr>
        <w:pStyle w:val="4"/>
        <w:autoSpaceDE/>
        <w:autoSpaceDN/>
        <w:spacing w:before="120" w:beforeLines="50" w:after="120" w:afterLines="50" w:line="500" w:lineRule="exact"/>
        <w:ind w:left="0" w:firstLine="456" w:firstLineChars="200"/>
        <w:rPr>
          <w:rFonts w:hint="eastAsia"/>
        </w:rPr>
      </w:pPr>
      <w:r>
        <w:rPr>
          <w:rFonts w:hint="eastAsia"/>
          <w:spacing w:val="-6"/>
        </w:rPr>
        <w:t>（</w:t>
      </w:r>
      <w:r>
        <w:rPr>
          <w:spacing w:val="-6"/>
        </w:rPr>
        <w:t>一</w:t>
      </w:r>
      <w:r>
        <w:rPr>
          <w:rFonts w:hint="eastAsia"/>
          <w:spacing w:val="-6"/>
        </w:rPr>
        <w:t>）</w:t>
      </w:r>
      <w:r>
        <w:rPr>
          <w:spacing w:val="-6"/>
        </w:rPr>
        <w:t>促进公司与投资者之间的良性关系，增进投资者对公司的进一步了解和</w:t>
      </w:r>
      <w:r>
        <w:t>熟悉</w:t>
      </w:r>
      <w:r>
        <w:rPr>
          <w:rFonts w:hint="eastAsia"/>
        </w:rPr>
        <w:t>；</w:t>
      </w:r>
    </w:p>
    <w:p w14:paraId="71CEDA52">
      <w:pPr>
        <w:pStyle w:val="4"/>
        <w:autoSpaceDE/>
        <w:autoSpaceDN/>
        <w:spacing w:before="120" w:beforeLines="50" w:after="120" w:afterLines="50" w:line="500" w:lineRule="exact"/>
        <w:ind w:left="0" w:firstLine="480" w:firstLineChars="200"/>
        <w:jc w:val="both"/>
        <w:rPr>
          <w:rFonts w:hint="eastAsia"/>
          <w:spacing w:val="-7"/>
        </w:rPr>
      </w:pPr>
      <w:r>
        <w:rPr>
          <w:rFonts w:hint="eastAsia"/>
        </w:rPr>
        <w:t>（</w:t>
      </w:r>
      <w:r>
        <w:rPr>
          <w:spacing w:val="-7"/>
        </w:rPr>
        <w:t>二</w:t>
      </w:r>
      <w:r>
        <w:rPr>
          <w:rFonts w:hint="eastAsia"/>
          <w:spacing w:val="-7"/>
        </w:rPr>
        <w:t>）</w:t>
      </w:r>
      <w:r>
        <w:rPr>
          <w:spacing w:val="-7"/>
        </w:rPr>
        <w:t>建立稳定和优质的投资者基础</w:t>
      </w:r>
      <w:r>
        <w:rPr>
          <w:rFonts w:hint="eastAsia"/>
          <w:spacing w:val="-7"/>
        </w:rPr>
        <w:t>；</w:t>
      </w:r>
    </w:p>
    <w:p w14:paraId="279A709B">
      <w:pPr>
        <w:pStyle w:val="4"/>
        <w:autoSpaceDE/>
        <w:autoSpaceDN/>
        <w:spacing w:before="120" w:beforeLines="50" w:after="120" w:afterLines="50" w:line="500" w:lineRule="exact"/>
        <w:ind w:left="0" w:firstLine="452" w:firstLineChars="200"/>
        <w:jc w:val="both"/>
        <w:rPr>
          <w:rFonts w:hint="eastAsia"/>
          <w:spacing w:val="-7"/>
        </w:rPr>
      </w:pPr>
      <w:r>
        <w:rPr>
          <w:rFonts w:hint="eastAsia"/>
          <w:spacing w:val="-7"/>
        </w:rPr>
        <w:t>（</w:t>
      </w:r>
      <w:r>
        <w:rPr>
          <w:spacing w:val="-7"/>
        </w:rPr>
        <w:t>三</w:t>
      </w:r>
      <w:r>
        <w:rPr>
          <w:rFonts w:hint="eastAsia"/>
          <w:spacing w:val="-7"/>
        </w:rPr>
        <w:t>）</w:t>
      </w:r>
      <w:r>
        <w:rPr>
          <w:spacing w:val="-7"/>
        </w:rPr>
        <w:t>形成服务投资者、尊重投资者的企业文化</w:t>
      </w:r>
      <w:r>
        <w:rPr>
          <w:rFonts w:hint="eastAsia"/>
          <w:spacing w:val="-7"/>
        </w:rPr>
        <w:t>；</w:t>
      </w:r>
    </w:p>
    <w:p w14:paraId="6ADEA4AD">
      <w:pPr>
        <w:pStyle w:val="4"/>
        <w:autoSpaceDE/>
        <w:autoSpaceDN/>
        <w:spacing w:before="120" w:beforeLines="50" w:after="120" w:afterLines="50" w:line="500" w:lineRule="exact"/>
        <w:ind w:left="0" w:firstLine="452" w:firstLineChars="200"/>
        <w:rPr>
          <w:rFonts w:hint="eastAsia"/>
        </w:rPr>
      </w:pPr>
      <w:r>
        <w:rPr>
          <w:rFonts w:hint="eastAsia"/>
          <w:spacing w:val="-7"/>
        </w:rPr>
        <w:t>（</w:t>
      </w:r>
      <w:r>
        <w:t>四</w:t>
      </w:r>
      <w:r>
        <w:rPr>
          <w:rFonts w:hint="eastAsia"/>
        </w:rPr>
        <w:t>）</w:t>
      </w:r>
      <w:r>
        <w:t>促进公司整体利益最大化</w:t>
      </w:r>
      <w:r>
        <w:rPr>
          <w:rFonts w:hint="eastAsia"/>
        </w:rPr>
        <w:t>；</w:t>
      </w:r>
    </w:p>
    <w:p w14:paraId="7A606DCA">
      <w:pPr>
        <w:pStyle w:val="4"/>
        <w:autoSpaceDE/>
        <w:autoSpaceDN/>
        <w:spacing w:before="120" w:beforeLines="50" w:after="120" w:afterLines="50" w:line="500" w:lineRule="exact"/>
        <w:ind w:left="0" w:firstLine="480" w:firstLineChars="200"/>
        <w:rPr>
          <w:rFonts w:hint="eastAsia"/>
        </w:rPr>
      </w:pPr>
      <w:r>
        <w:rPr>
          <w:rFonts w:hint="eastAsia"/>
        </w:rPr>
        <w:t>（</w:t>
      </w:r>
      <w:r>
        <w:t>五</w:t>
      </w:r>
      <w:r>
        <w:rPr>
          <w:rFonts w:hint="eastAsia"/>
        </w:rPr>
        <w:t>）</w:t>
      </w:r>
      <w:r>
        <w:t>增加公司信息披露透明度，改善公司治理。</w:t>
      </w:r>
    </w:p>
    <w:p w14:paraId="6060E2C8">
      <w:pPr>
        <w:pStyle w:val="2"/>
        <w:autoSpaceDE/>
        <w:autoSpaceDN/>
        <w:spacing w:before="120" w:beforeLines="50" w:after="120" w:afterLines="50" w:line="500" w:lineRule="exact"/>
        <w:ind w:firstLine="482" w:firstLineChars="200"/>
        <w:jc w:val="center"/>
        <w:rPr>
          <w:rFonts w:hint="eastAsia"/>
          <w:sz w:val="24"/>
          <w:szCs w:val="24"/>
          <w:lang w:val="en-US"/>
        </w:rPr>
      </w:pPr>
      <w:r>
        <w:rPr>
          <w:rFonts w:ascii="Times New Roman" w:hAnsi="Times New Roman" w:cs="Times New Roman"/>
          <w:color w:val="0C0C0C" w:themeColor="text1" w:themeTint="F2"/>
          <w:sz w:val="24"/>
          <w:szCs w:val="24"/>
        </w:rPr>
        <w:t>第</w:t>
      </w:r>
      <w:r>
        <w:rPr>
          <w:rFonts w:hint="eastAsia" w:ascii="Times New Roman" w:hAnsi="Times New Roman" w:cs="Times New Roman"/>
          <w:color w:val="0C0C0C" w:themeColor="text1" w:themeTint="F2"/>
          <w:sz w:val="24"/>
          <w:szCs w:val="24"/>
          <w:lang w:val="en-US"/>
        </w:rPr>
        <w:t>三</w:t>
      </w:r>
      <w:r>
        <w:rPr>
          <w:rFonts w:ascii="Times New Roman" w:hAnsi="Times New Roman" w:cs="Times New Roman"/>
          <w:color w:val="0C0C0C" w:themeColor="text1" w:themeTint="F2"/>
          <w:sz w:val="24"/>
          <w:szCs w:val="24"/>
        </w:rPr>
        <w:t>章</w:t>
      </w:r>
      <w:r>
        <w:rPr>
          <w:rFonts w:hint="eastAsia" w:ascii="Times New Roman" w:hAnsi="Times New Roman" w:cs="Times New Roman"/>
          <w:color w:val="0C0C0C" w:themeColor="text1" w:themeTint="F2"/>
          <w:sz w:val="24"/>
          <w:szCs w:val="24"/>
          <w:lang w:val="en-US"/>
        </w:rPr>
        <w:t xml:space="preserve">  投资者关系管理的内容和方式</w:t>
      </w:r>
    </w:p>
    <w:p w14:paraId="7FE8EAFE">
      <w:pPr>
        <w:pStyle w:val="4"/>
        <w:numPr>
          <w:ilvl w:val="0"/>
          <w:numId w:val="1"/>
        </w:numPr>
        <w:tabs>
          <w:tab w:val="left" w:pos="1581"/>
        </w:tabs>
        <w:autoSpaceDE/>
        <w:autoSpaceDN/>
        <w:spacing w:before="120" w:beforeLines="50" w:after="120" w:afterLines="50" w:line="500" w:lineRule="exact"/>
        <w:ind w:left="0" w:firstLine="482" w:firstLineChars="200"/>
        <w:rPr>
          <w:rFonts w:hint="eastAsia"/>
        </w:rPr>
      </w:pPr>
      <w:r>
        <w:rPr>
          <w:rFonts w:hint="eastAsia"/>
          <w:b/>
          <w:bCs/>
          <w:lang w:val="en-US"/>
        </w:rPr>
        <w:t xml:space="preserve">  </w:t>
      </w:r>
      <w:r>
        <w:t>投资者关系工作中公司与投资者沟通的内容主要包括：</w:t>
      </w:r>
    </w:p>
    <w:p w14:paraId="258C1866">
      <w:pPr>
        <w:pStyle w:val="4"/>
        <w:autoSpaceDE/>
        <w:autoSpaceDN/>
        <w:spacing w:before="120" w:beforeLines="50" w:after="120" w:afterLines="50" w:line="500" w:lineRule="exact"/>
        <w:ind w:left="0" w:firstLine="480" w:firstLineChars="200"/>
        <w:rPr>
          <w:rFonts w:hint="eastAsia"/>
        </w:rPr>
      </w:pPr>
      <w:r>
        <w:t>（一）公司的发展战略；</w:t>
      </w:r>
    </w:p>
    <w:p w14:paraId="0A90B9EE">
      <w:pPr>
        <w:pStyle w:val="4"/>
        <w:autoSpaceDE/>
        <w:autoSpaceDN/>
        <w:spacing w:before="120" w:beforeLines="50" w:after="120" w:afterLines="50" w:line="500" w:lineRule="exact"/>
        <w:ind w:left="0" w:firstLine="480" w:firstLineChars="200"/>
        <w:rPr>
          <w:rFonts w:hint="eastAsia"/>
        </w:rPr>
      </w:pPr>
      <w:r>
        <w:t>（二）法定信息披露内容；</w:t>
      </w:r>
    </w:p>
    <w:p w14:paraId="6D398DC4">
      <w:pPr>
        <w:pStyle w:val="4"/>
        <w:autoSpaceDE/>
        <w:autoSpaceDN/>
        <w:spacing w:before="120" w:beforeLines="50" w:after="120" w:afterLines="50" w:line="500" w:lineRule="exact"/>
        <w:ind w:left="0" w:firstLine="480" w:firstLineChars="200"/>
        <w:rPr>
          <w:rFonts w:hint="eastAsia"/>
        </w:rPr>
      </w:pPr>
      <w:r>
        <w:t>（三）公司的经营管理信息；</w:t>
      </w:r>
    </w:p>
    <w:p w14:paraId="54007BC8">
      <w:pPr>
        <w:pStyle w:val="4"/>
        <w:autoSpaceDE/>
        <w:autoSpaceDN/>
        <w:spacing w:before="120" w:beforeLines="50" w:after="120" w:afterLines="50" w:line="500" w:lineRule="exact"/>
        <w:ind w:left="0" w:firstLine="480" w:firstLineChars="200"/>
        <w:rPr>
          <w:rFonts w:hint="eastAsia"/>
        </w:rPr>
      </w:pPr>
      <w:r>
        <w:t>（四）公司的环境、社会和治理信息；</w:t>
      </w:r>
    </w:p>
    <w:p w14:paraId="319990EF">
      <w:pPr>
        <w:pStyle w:val="4"/>
        <w:autoSpaceDE/>
        <w:autoSpaceDN/>
        <w:spacing w:before="120" w:beforeLines="50" w:after="120" w:afterLines="50" w:line="500" w:lineRule="exact"/>
        <w:ind w:left="0" w:firstLine="480" w:firstLineChars="200"/>
        <w:rPr>
          <w:rFonts w:hint="eastAsia"/>
        </w:rPr>
      </w:pPr>
      <w:r>
        <w:t>（五）公司的文化建设；</w:t>
      </w:r>
    </w:p>
    <w:p w14:paraId="6B59DC2A">
      <w:pPr>
        <w:pStyle w:val="4"/>
        <w:autoSpaceDE/>
        <w:autoSpaceDN/>
        <w:spacing w:before="120" w:beforeLines="50" w:after="120" w:afterLines="50" w:line="500" w:lineRule="exact"/>
        <w:ind w:left="0" w:firstLine="480" w:firstLineChars="200"/>
        <w:rPr>
          <w:rFonts w:hint="eastAsia"/>
        </w:rPr>
      </w:pPr>
      <w:r>
        <w:t>（六）股东权利行使的方式、途径和程序等；</w:t>
      </w:r>
    </w:p>
    <w:p w14:paraId="71603210">
      <w:pPr>
        <w:pStyle w:val="4"/>
        <w:autoSpaceDE/>
        <w:autoSpaceDN/>
        <w:spacing w:before="120" w:beforeLines="50" w:after="120" w:afterLines="50" w:line="500" w:lineRule="exact"/>
        <w:ind w:left="0" w:firstLine="480" w:firstLineChars="200"/>
        <w:rPr>
          <w:rFonts w:hint="eastAsia"/>
        </w:rPr>
      </w:pPr>
      <w:r>
        <w:t>（七）投资者诉求处理信息；</w:t>
      </w:r>
    </w:p>
    <w:p w14:paraId="126D84EE">
      <w:pPr>
        <w:pStyle w:val="4"/>
        <w:autoSpaceDE/>
        <w:autoSpaceDN/>
        <w:spacing w:before="120" w:beforeLines="50" w:after="120" w:afterLines="50" w:line="500" w:lineRule="exact"/>
        <w:ind w:left="0" w:firstLine="480" w:firstLineChars="200"/>
        <w:rPr>
          <w:rFonts w:hint="eastAsia"/>
        </w:rPr>
      </w:pPr>
      <w:r>
        <w:t>（八）公司正在或者可能面临的风险和挑战；</w:t>
      </w:r>
    </w:p>
    <w:p w14:paraId="0E914E58">
      <w:pPr>
        <w:pStyle w:val="4"/>
        <w:autoSpaceDE/>
        <w:autoSpaceDN/>
        <w:spacing w:before="120" w:beforeLines="50" w:after="120" w:afterLines="50" w:line="500" w:lineRule="exact"/>
        <w:ind w:left="0" w:firstLine="480" w:firstLineChars="200"/>
        <w:rPr>
          <w:rFonts w:hint="eastAsia"/>
        </w:rPr>
      </w:pPr>
      <w:r>
        <w:t>（九）公司的其他相关信息。</w:t>
      </w:r>
    </w:p>
    <w:p w14:paraId="77773C10">
      <w:pPr>
        <w:pStyle w:val="4"/>
        <w:numPr>
          <w:ilvl w:val="0"/>
          <w:numId w:val="1"/>
        </w:numPr>
        <w:tabs>
          <w:tab w:val="left" w:pos="1581"/>
        </w:tabs>
        <w:autoSpaceDE/>
        <w:autoSpaceDN/>
        <w:spacing w:before="120" w:beforeLines="50" w:after="120" w:afterLines="50" w:line="500" w:lineRule="exact"/>
        <w:ind w:left="0" w:firstLine="480" w:firstLineChars="200"/>
        <w:rPr>
          <w:rFonts w:hint="eastAsia"/>
          <w:lang w:val="en-US"/>
        </w:rPr>
      </w:pPr>
      <w:r>
        <w:rPr>
          <w:rFonts w:hint="eastAsia"/>
          <w:lang w:val="en-US"/>
        </w:rPr>
        <w:t xml:space="preserve">  公司应当多渠道、多平台、多方式开展投资者关系管理工作。通过公司官网、新媒体平台、电话、传真、电子邮箱、投资者教育基地等渠道，利用中国投资者网和证券交易所、证券登记结算机构等的网络基础设施平台，采取股东会、投资者说明会、路演、分析师会议、接待来访、座谈交流等方式，与投资者进行沟通交流。沟通交流的方式应当方便投资者参与，公司应当及时发现并清除影响沟通交流的障碍性条件。</w:t>
      </w:r>
    </w:p>
    <w:p w14:paraId="3448378F">
      <w:pPr>
        <w:pStyle w:val="4"/>
        <w:numPr>
          <w:ilvl w:val="255"/>
          <w:numId w:val="0"/>
        </w:numPr>
        <w:tabs>
          <w:tab w:val="left" w:pos="1581"/>
        </w:tabs>
        <w:autoSpaceDE/>
        <w:autoSpaceDN/>
        <w:spacing w:before="120" w:beforeLines="50" w:after="120" w:afterLines="50" w:line="500" w:lineRule="exact"/>
        <w:ind w:firstLine="480" w:firstLineChars="200"/>
        <w:rPr>
          <w:rFonts w:hint="eastAsia"/>
          <w:lang w:val="en-US"/>
        </w:rPr>
      </w:pPr>
      <w:r>
        <w:rPr>
          <w:rFonts w:hint="eastAsia"/>
          <w:lang w:val="en-US"/>
        </w:rPr>
        <w:t>公司在遵守信息披露规则的前提下，建立与投资者的重大事件沟通机制，在制定涉及股东权益的重大方案时，通过多种方式与投资者进行充分沟通和协商。</w:t>
      </w:r>
    </w:p>
    <w:p w14:paraId="51884BA1">
      <w:pPr>
        <w:pStyle w:val="4"/>
        <w:numPr>
          <w:ilvl w:val="0"/>
          <w:numId w:val="1"/>
        </w:numPr>
        <w:tabs>
          <w:tab w:val="left" w:pos="1581"/>
        </w:tabs>
        <w:autoSpaceDE/>
        <w:autoSpaceDN/>
        <w:spacing w:before="120" w:beforeLines="50" w:after="120" w:afterLines="50" w:line="500" w:lineRule="exact"/>
        <w:ind w:left="0" w:firstLine="480" w:firstLineChars="200"/>
        <w:rPr>
          <w:rFonts w:hint="eastAsia"/>
        </w:rPr>
      </w:pPr>
      <w:r>
        <w:rPr>
          <w:rFonts w:hint="eastAsia"/>
          <w:lang w:val="en-US"/>
        </w:rPr>
        <w:t xml:space="preserve">  </w:t>
      </w:r>
      <w:r>
        <w:t>公司设立投资者联系电话、传真和电子邮箱等，由熟悉情况的专人负责，保证在工作时间线路畅通，认真友好接听接收，通过有效形式向投资者反馈。</w:t>
      </w:r>
      <w:r>
        <w:rPr>
          <w:rFonts w:hint="eastAsia"/>
          <w:lang w:val="en-US"/>
        </w:rPr>
        <w:t>联系电话</w:t>
      </w:r>
      <w:r>
        <w:t>、地址如有变更应及时公布。</w:t>
      </w:r>
    </w:p>
    <w:p w14:paraId="74CA41CB">
      <w:pPr>
        <w:pStyle w:val="4"/>
        <w:numPr>
          <w:ilvl w:val="0"/>
          <w:numId w:val="1"/>
        </w:numPr>
        <w:tabs>
          <w:tab w:val="left" w:pos="1581"/>
        </w:tabs>
        <w:autoSpaceDE/>
        <w:autoSpaceDN/>
        <w:spacing w:before="120" w:beforeLines="50" w:after="120" w:afterLines="50" w:line="500" w:lineRule="exact"/>
        <w:ind w:left="0" w:firstLine="480" w:firstLineChars="200"/>
        <w:rPr>
          <w:rFonts w:hint="eastAsia"/>
        </w:rPr>
      </w:pPr>
      <w:r>
        <w:rPr>
          <w:rFonts w:hint="eastAsia"/>
          <w:lang w:val="en-US"/>
        </w:rPr>
        <w:t xml:space="preserve">  公司应当加强投资者网络沟通渠道的建设和运维，在公司官网开设投资者关系专栏，收集和答复投资者的咨询、投诉和建议等诉求，及时发布和更新投资者关系管理相关信息。</w:t>
      </w:r>
    </w:p>
    <w:p w14:paraId="0E4AEE94">
      <w:pPr>
        <w:pStyle w:val="4"/>
        <w:numPr>
          <w:ilvl w:val="255"/>
          <w:numId w:val="0"/>
        </w:numPr>
        <w:tabs>
          <w:tab w:val="left" w:pos="1797"/>
        </w:tabs>
        <w:autoSpaceDE/>
        <w:autoSpaceDN/>
        <w:spacing w:before="120" w:beforeLines="50" w:after="120" w:afterLines="50" w:line="500" w:lineRule="exact"/>
        <w:ind w:firstLine="480" w:firstLineChars="200"/>
        <w:rPr>
          <w:rFonts w:hint="eastAsia"/>
          <w:lang w:val="en-US"/>
        </w:rPr>
      </w:pPr>
      <w:r>
        <w:rPr>
          <w:rFonts w:hint="eastAsia"/>
          <w:lang w:val="en-US"/>
        </w:rPr>
        <w:t>公司应当积极利用中国投资者网、证券交易所投资者关系互动平台等公益性网络基础设施开展投资者关系管理活动。</w:t>
      </w:r>
    </w:p>
    <w:p w14:paraId="3FD84106">
      <w:pPr>
        <w:pStyle w:val="4"/>
        <w:numPr>
          <w:ilvl w:val="0"/>
          <w:numId w:val="1"/>
        </w:numPr>
        <w:tabs>
          <w:tab w:val="left" w:pos="1581"/>
        </w:tabs>
        <w:autoSpaceDE/>
        <w:autoSpaceDN/>
        <w:spacing w:before="120" w:beforeLines="50" w:after="120" w:afterLines="50" w:line="500" w:lineRule="exact"/>
        <w:ind w:left="0" w:firstLine="480" w:firstLineChars="200"/>
        <w:rPr>
          <w:rFonts w:hint="eastAsia"/>
        </w:rPr>
      </w:pPr>
      <w:r>
        <w:rPr>
          <w:rFonts w:hint="eastAsia"/>
          <w:lang w:val="en-US"/>
        </w:rPr>
        <w:t xml:space="preserve">  公司</w:t>
      </w:r>
      <w:r>
        <w:t>可</w:t>
      </w:r>
      <w:r>
        <w:rPr>
          <w:rFonts w:hint="eastAsia"/>
          <w:lang w:val="en-US"/>
        </w:rPr>
        <w:t>以</w:t>
      </w:r>
      <w:r>
        <w:t>安排投资者、</w:t>
      </w:r>
      <w:r>
        <w:rPr>
          <w:rFonts w:hint="eastAsia"/>
          <w:lang w:val="en-US"/>
        </w:rPr>
        <w:t>基金经理、</w:t>
      </w:r>
      <w:r>
        <w:t>分析师等到公司现场参观、座谈</w:t>
      </w:r>
      <w:bookmarkStart w:id="0" w:name="_GoBack"/>
      <w:bookmarkEnd w:id="0"/>
      <w:r>
        <w:t>沟通</w:t>
      </w:r>
      <w:r>
        <w:rPr>
          <w:rFonts w:hint="eastAsia"/>
          <w:lang w:val="en-US"/>
        </w:rPr>
        <w:t>。公司应当</w:t>
      </w:r>
      <w:r>
        <w:t>合理、妥善地安排参观过程，使参观人员了解公司业务和经营情况。</w:t>
      </w:r>
    </w:p>
    <w:p w14:paraId="66436303">
      <w:pPr>
        <w:pStyle w:val="4"/>
        <w:numPr>
          <w:ilvl w:val="0"/>
          <w:numId w:val="1"/>
        </w:numPr>
        <w:tabs>
          <w:tab w:val="left" w:pos="1581"/>
        </w:tabs>
        <w:autoSpaceDE/>
        <w:autoSpaceDN/>
        <w:spacing w:before="120" w:beforeLines="50" w:after="120" w:afterLines="50" w:line="500" w:lineRule="exact"/>
        <w:ind w:left="0" w:firstLine="480" w:firstLineChars="200"/>
        <w:rPr>
          <w:rFonts w:hint="eastAsia"/>
        </w:rPr>
      </w:pPr>
      <w:r>
        <w:rPr>
          <w:rFonts w:hint="eastAsia"/>
          <w:lang w:val="en-US"/>
        </w:rPr>
        <w:t xml:space="preserve">  公司可以通过路演、分析师会议等方式，沟通交流公司情况，回答问题并听取相关意见建议。</w:t>
      </w:r>
    </w:p>
    <w:p w14:paraId="30E49E27">
      <w:pPr>
        <w:pStyle w:val="4"/>
        <w:numPr>
          <w:ilvl w:val="0"/>
          <w:numId w:val="1"/>
        </w:numPr>
        <w:tabs>
          <w:tab w:val="left" w:pos="1581"/>
        </w:tabs>
        <w:autoSpaceDE/>
        <w:autoSpaceDN/>
        <w:spacing w:before="120" w:beforeLines="50" w:after="120" w:afterLines="50" w:line="500" w:lineRule="exact"/>
        <w:ind w:left="0" w:firstLine="480" w:firstLineChars="200"/>
        <w:rPr>
          <w:rFonts w:hint="eastAsia"/>
          <w:lang w:val="en-US"/>
        </w:rPr>
      </w:pPr>
      <w:r>
        <w:rPr>
          <w:rFonts w:hint="eastAsia"/>
          <w:lang w:val="en-US"/>
        </w:rPr>
        <w:t xml:space="preserve">  公司及其他信息披露义务人应当严格按照法律法规、自律规则和公司章程的规定及时、公平地履行信息披露义务，披露的信息应当真实、准确、完整，简明清晰，通俗易懂，不得有虚假记载、误导性陈述或者重大遗漏。</w:t>
      </w:r>
    </w:p>
    <w:p w14:paraId="4D940161">
      <w:pPr>
        <w:pStyle w:val="4"/>
        <w:numPr>
          <w:ilvl w:val="0"/>
          <w:numId w:val="1"/>
        </w:numPr>
        <w:tabs>
          <w:tab w:val="left" w:pos="1581"/>
        </w:tabs>
        <w:autoSpaceDE/>
        <w:autoSpaceDN/>
        <w:spacing w:before="120" w:beforeLines="50" w:after="120" w:afterLines="50" w:line="500" w:lineRule="exact"/>
        <w:ind w:left="0" w:firstLine="480" w:firstLineChars="200"/>
        <w:rPr>
          <w:rFonts w:hint="eastAsia"/>
        </w:rPr>
      </w:pPr>
      <w:r>
        <w:rPr>
          <w:rFonts w:hint="eastAsia"/>
          <w:lang w:val="en-US"/>
        </w:rPr>
        <w:t xml:space="preserve"> </w:t>
      </w:r>
      <w:r>
        <w:t xml:space="preserve"> 公司应当充分考虑股东会召开的时间、地点和方式，为股东特别是中小股东参加股东会提供便利，为投资者发言、提问以及与公司董事、高级管理人员等交流提供必要的时间。股东会应当提供网络投票的方式。</w:t>
      </w:r>
    </w:p>
    <w:p w14:paraId="4205BD74">
      <w:pPr>
        <w:pStyle w:val="4"/>
        <w:numPr>
          <w:ilvl w:val="255"/>
          <w:numId w:val="0"/>
        </w:numPr>
        <w:tabs>
          <w:tab w:val="left" w:pos="1581"/>
        </w:tabs>
        <w:autoSpaceDE/>
        <w:autoSpaceDN/>
        <w:spacing w:before="120" w:beforeLines="50" w:after="120" w:afterLines="50" w:line="500" w:lineRule="exact"/>
        <w:ind w:firstLine="480" w:firstLineChars="200"/>
        <w:rPr>
          <w:rFonts w:hint="eastAsia"/>
        </w:rPr>
      </w:pPr>
      <w:r>
        <w:t>公司可以在按照信息披露规则作出公告后至股东会召开前，与投资者充分沟通，广泛征询意见。</w:t>
      </w:r>
    </w:p>
    <w:p w14:paraId="7141F576">
      <w:pPr>
        <w:pStyle w:val="4"/>
        <w:numPr>
          <w:ilvl w:val="0"/>
          <w:numId w:val="1"/>
        </w:numPr>
        <w:tabs>
          <w:tab w:val="left" w:pos="1581"/>
        </w:tabs>
        <w:autoSpaceDE/>
        <w:autoSpaceDN/>
        <w:spacing w:before="120" w:beforeLines="50" w:after="120" w:afterLines="50" w:line="500" w:lineRule="exact"/>
        <w:ind w:left="0" w:firstLine="480" w:firstLineChars="200"/>
        <w:rPr>
          <w:rFonts w:hint="eastAsia"/>
        </w:rPr>
      </w:pPr>
      <w:r>
        <w:rPr>
          <w:rFonts w:hint="eastAsia"/>
          <w:lang w:val="en-US"/>
        </w:rPr>
        <w:t xml:space="preserve"> </w:t>
      </w:r>
      <w:r>
        <w:t xml:space="preserve"> 除依法履行信息披露义务外，公司应当按照中国证监会、证券交易所的规定积极召开投资者说明会，向投资者介绍情况、回答问题、听取建议。投资者说明会包括业绩说明会、现金分红说明会、重大事项说明会等</w:t>
      </w:r>
      <w:r>
        <w:rPr>
          <w:rFonts w:hint="eastAsia"/>
        </w:rPr>
        <w:t>；</w:t>
      </w:r>
      <w:r>
        <w:t>一般情况下董事长或者总经理应当出席投资者说明会，不能出席的应当公开说明原因。</w:t>
      </w:r>
    </w:p>
    <w:p w14:paraId="0A72A668">
      <w:pPr>
        <w:pStyle w:val="4"/>
        <w:autoSpaceDE/>
        <w:autoSpaceDN/>
        <w:spacing w:before="120" w:beforeLines="50" w:after="120" w:afterLines="50" w:line="500" w:lineRule="exact"/>
        <w:ind w:left="0" w:firstLine="480" w:firstLineChars="200"/>
        <w:jc w:val="both"/>
        <w:rPr>
          <w:rFonts w:hint="eastAsia"/>
          <w:lang w:val="en-US"/>
        </w:rPr>
      </w:pPr>
      <w:r>
        <w:t>公司召开投资者说明会应当事先公告，事后及时披露说明会情况。投资者说明会应当采取便于投资者参与的方式进行，现场召开的</w:t>
      </w:r>
      <w:r>
        <w:rPr>
          <w:rFonts w:hint="eastAsia"/>
        </w:rPr>
        <w:t>，</w:t>
      </w:r>
      <w:r>
        <w:t>鼓励通过网络等渠道进行直播。</w:t>
      </w:r>
    </w:p>
    <w:p w14:paraId="6B66A50B">
      <w:pPr>
        <w:pStyle w:val="4"/>
        <w:numPr>
          <w:ilvl w:val="0"/>
          <w:numId w:val="1"/>
        </w:numPr>
        <w:tabs>
          <w:tab w:val="left" w:pos="1581"/>
        </w:tabs>
        <w:autoSpaceDE/>
        <w:autoSpaceDN/>
        <w:spacing w:before="120" w:beforeLines="50" w:after="120" w:afterLines="50" w:line="500" w:lineRule="exact"/>
        <w:ind w:left="0" w:firstLine="480" w:firstLineChars="200"/>
        <w:rPr>
          <w:rFonts w:hint="eastAsia"/>
          <w:lang w:val="en-US"/>
        </w:rPr>
      </w:pPr>
      <w:r>
        <w:rPr>
          <w:rFonts w:hint="eastAsia"/>
          <w:lang w:val="en-US"/>
        </w:rPr>
        <w:t xml:space="preserve">  存在下列情形的，上市公司应当按照中国证监会、证券交易所的规定召开投资者说明会：</w:t>
      </w:r>
    </w:p>
    <w:p w14:paraId="5BD678DA">
      <w:pPr>
        <w:pStyle w:val="4"/>
        <w:numPr>
          <w:ilvl w:val="255"/>
          <w:numId w:val="0"/>
        </w:numPr>
        <w:tabs>
          <w:tab w:val="left" w:pos="1581"/>
        </w:tabs>
        <w:autoSpaceDE/>
        <w:autoSpaceDN/>
        <w:spacing w:before="120" w:beforeLines="50" w:after="120" w:afterLines="50" w:line="500" w:lineRule="exact"/>
        <w:ind w:firstLine="480" w:firstLineChars="200"/>
        <w:rPr>
          <w:rFonts w:hint="eastAsia"/>
          <w:lang w:val="en-US"/>
        </w:rPr>
      </w:pPr>
      <w:r>
        <w:rPr>
          <w:rFonts w:hint="eastAsia"/>
          <w:lang w:val="en-US"/>
        </w:rPr>
        <w:t>（一）公司当年现金分红水平未达相关规定，需要说明原因；</w:t>
      </w:r>
    </w:p>
    <w:p w14:paraId="4DE725BA">
      <w:pPr>
        <w:pStyle w:val="4"/>
        <w:numPr>
          <w:ilvl w:val="255"/>
          <w:numId w:val="0"/>
        </w:numPr>
        <w:tabs>
          <w:tab w:val="left" w:pos="1581"/>
        </w:tabs>
        <w:autoSpaceDE/>
        <w:autoSpaceDN/>
        <w:spacing w:before="120" w:beforeLines="50" w:after="120" w:afterLines="50" w:line="500" w:lineRule="exact"/>
        <w:ind w:firstLine="480" w:firstLineChars="200"/>
        <w:rPr>
          <w:rFonts w:hint="eastAsia"/>
          <w:lang w:val="en-US"/>
        </w:rPr>
      </w:pPr>
      <w:r>
        <w:rPr>
          <w:rFonts w:hint="eastAsia"/>
          <w:lang w:val="en-US"/>
        </w:rPr>
        <w:t>（二）公司在披露重组预案或重组报告书后终止重组；</w:t>
      </w:r>
    </w:p>
    <w:p w14:paraId="379F24F1">
      <w:pPr>
        <w:pStyle w:val="4"/>
        <w:numPr>
          <w:ilvl w:val="255"/>
          <w:numId w:val="0"/>
        </w:numPr>
        <w:tabs>
          <w:tab w:val="left" w:pos="1581"/>
        </w:tabs>
        <w:autoSpaceDE/>
        <w:autoSpaceDN/>
        <w:spacing w:before="120" w:beforeLines="50" w:after="120" w:afterLines="50" w:line="500" w:lineRule="exact"/>
        <w:ind w:firstLine="480" w:firstLineChars="200"/>
        <w:rPr>
          <w:rFonts w:hint="eastAsia"/>
          <w:lang w:val="en-US"/>
        </w:rPr>
      </w:pPr>
      <w:r>
        <w:rPr>
          <w:rFonts w:hint="eastAsia"/>
          <w:lang w:val="en-US"/>
        </w:rPr>
        <w:t>（三）公司证券交易出现相关规则规定的异常波动，公司核查后发现存在未披露重大事件；</w:t>
      </w:r>
    </w:p>
    <w:p w14:paraId="6F58F941">
      <w:pPr>
        <w:pStyle w:val="4"/>
        <w:numPr>
          <w:ilvl w:val="255"/>
          <w:numId w:val="0"/>
        </w:numPr>
        <w:tabs>
          <w:tab w:val="left" w:pos="1581"/>
        </w:tabs>
        <w:autoSpaceDE/>
        <w:autoSpaceDN/>
        <w:spacing w:before="120" w:beforeLines="50" w:after="120" w:afterLines="50" w:line="500" w:lineRule="exact"/>
        <w:ind w:firstLine="480" w:firstLineChars="200"/>
        <w:rPr>
          <w:rFonts w:hint="eastAsia"/>
          <w:lang w:val="en-US"/>
        </w:rPr>
      </w:pPr>
      <w:r>
        <w:rPr>
          <w:rFonts w:hint="eastAsia"/>
          <w:lang w:val="en-US"/>
        </w:rPr>
        <w:t>（四）公司相关重大事件受到市场高度关注或质疑；</w:t>
      </w:r>
    </w:p>
    <w:p w14:paraId="435F2C4C">
      <w:pPr>
        <w:pStyle w:val="4"/>
        <w:numPr>
          <w:ilvl w:val="255"/>
          <w:numId w:val="0"/>
        </w:numPr>
        <w:tabs>
          <w:tab w:val="left" w:pos="1581"/>
        </w:tabs>
        <w:autoSpaceDE/>
        <w:autoSpaceDN/>
        <w:spacing w:before="120" w:beforeLines="50" w:after="120" w:afterLines="50" w:line="500" w:lineRule="exact"/>
        <w:ind w:firstLine="480" w:firstLineChars="200"/>
        <w:rPr>
          <w:rFonts w:hint="eastAsia"/>
          <w:lang w:val="en-US"/>
        </w:rPr>
      </w:pPr>
      <w:r>
        <w:rPr>
          <w:rFonts w:hint="eastAsia"/>
          <w:lang w:val="en-US"/>
        </w:rPr>
        <w:t>（五）其他应当召开投资者说明会的情形。</w:t>
      </w:r>
    </w:p>
    <w:p w14:paraId="353338DA">
      <w:pPr>
        <w:pStyle w:val="4"/>
        <w:numPr>
          <w:ilvl w:val="0"/>
          <w:numId w:val="1"/>
        </w:numPr>
        <w:tabs>
          <w:tab w:val="left" w:pos="1581"/>
        </w:tabs>
        <w:autoSpaceDE/>
        <w:autoSpaceDN/>
        <w:spacing w:before="120" w:beforeLines="50" w:after="120" w:afterLines="50" w:line="500" w:lineRule="exact"/>
        <w:ind w:left="0" w:firstLine="480" w:firstLineChars="200"/>
        <w:rPr>
          <w:rFonts w:hint="eastAsia"/>
          <w:lang w:val="en-US"/>
        </w:rPr>
      </w:pPr>
      <w:r>
        <w:rPr>
          <w:rFonts w:hint="eastAsia"/>
          <w:lang w:val="en-US"/>
        </w:rPr>
        <w:t xml:space="preserve">  公司在年度报告披露后应当按照中国证监会、证券交易所的规定，及时召开业绩说明会，对公司所处行业状况、发展战略、生产经营、财务状况、分红情况、风险与困难等投资者关心的内容进行说明。公司召开业绩说明会应当提前征集投资者提问，注重与投资者交流互动的效果，可以采用视频、语音等形式。</w:t>
      </w:r>
    </w:p>
    <w:p w14:paraId="0918C37D">
      <w:pPr>
        <w:pStyle w:val="4"/>
        <w:numPr>
          <w:ilvl w:val="0"/>
          <w:numId w:val="1"/>
        </w:numPr>
        <w:tabs>
          <w:tab w:val="left" w:pos="1581"/>
        </w:tabs>
        <w:autoSpaceDE/>
        <w:autoSpaceDN/>
        <w:spacing w:before="120" w:beforeLines="50" w:after="120" w:afterLines="50" w:line="500" w:lineRule="exact"/>
        <w:ind w:left="0" w:firstLine="480" w:firstLineChars="200"/>
        <w:rPr>
          <w:rFonts w:hint="eastAsia"/>
          <w:lang w:val="en-US"/>
        </w:rPr>
      </w:pPr>
      <w:r>
        <w:rPr>
          <w:rFonts w:hint="eastAsia"/>
          <w:lang w:val="en-US"/>
        </w:rPr>
        <w:t xml:space="preserve">  投资者依法行使股东权利的行为，以及投资者保护机构持股行权、公开征集股东权利、纠纷调解、代表人诉讼等维护投资者合法权益的各项活动，公司应当积极支持配合。</w:t>
      </w:r>
    </w:p>
    <w:p w14:paraId="1610400B">
      <w:pPr>
        <w:pStyle w:val="4"/>
        <w:numPr>
          <w:ilvl w:val="255"/>
          <w:numId w:val="0"/>
        </w:numPr>
        <w:tabs>
          <w:tab w:val="left" w:pos="1581"/>
        </w:tabs>
        <w:autoSpaceDE/>
        <w:autoSpaceDN/>
        <w:spacing w:before="120" w:beforeLines="50" w:after="120" w:afterLines="50" w:line="500" w:lineRule="exact"/>
        <w:ind w:firstLine="480" w:firstLineChars="200"/>
        <w:rPr>
          <w:rFonts w:hint="eastAsia"/>
          <w:lang w:val="en-US"/>
        </w:rPr>
      </w:pPr>
      <w:r>
        <w:rPr>
          <w:lang w:val="en-US"/>
        </w:rPr>
        <w:t>投资者与公司发生纠纷的，双方可以向调解组织申请调解。投资者提出调解请求的，公司应当积极配合。</w:t>
      </w:r>
    </w:p>
    <w:p w14:paraId="0875B13A">
      <w:pPr>
        <w:pStyle w:val="4"/>
        <w:numPr>
          <w:ilvl w:val="255"/>
          <w:numId w:val="0"/>
        </w:numPr>
        <w:tabs>
          <w:tab w:val="left" w:pos="1581"/>
        </w:tabs>
        <w:autoSpaceDE/>
        <w:autoSpaceDN/>
        <w:spacing w:before="120" w:beforeLines="50" w:after="120" w:afterLines="50" w:line="500" w:lineRule="exact"/>
        <w:ind w:firstLine="480" w:firstLineChars="200"/>
        <w:rPr>
          <w:rFonts w:hint="eastAsia"/>
          <w:lang w:val="en-US"/>
        </w:rPr>
      </w:pPr>
      <w:r>
        <w:rPr>
          <w:lang w:val="en-US"/>
        </w:rPr>
        <w:t>投资者向公司提出的诉求，公司应当承担处理的首要责任，依法处理、及时答复投资者。</w:t>
      </w:r>
    </w:p>
    <w:p w14:paraId="3ECEBF5E">
      <w:pPr>
        <w:pStyle w:val="4"/>
        <w:numPr>
          <w:ilvl w:val="0"/>
          <w:numId w:val="1"/>
        </w:numPr>
        <w:tabs>
          <w:tab w:val="left" w:pos="1581"/>
        </w:tabs>
        <w:autoSpaceDE/>
        <w:autoSpaceDN/>
        <w:spacing w:before="120" w:beforeLines="50" w:after="120" w:afterLines="50" w:line="500" w:lineRule="exact"/>
        <w:ind w:left="0" w:firstLine="480" w:firstLineChars="200"/>
        <w:rPr>
          <w:rFonts w:hint="eastAsia"/>
        </w:rPr>
      </w:pPr>
      <w:r>
        <w:rPr>
          <w:rFonts w:hint="eastAsia"/>
          <w:lang w:val="en-US"/>
        </w:rPr>
        <w:t xml:space="preserve">  公司应当严格区分宣传广告与媒体报道，不得以宣传广告材料以及有偿手段影响媒体的客观独立报道；公司应当及时关注媒体的宣传报道，必要时予以适当回应。</w:t>
      </w:r>
    </w:p>
    <w:p w14:paraId="1C904607">
      <w:pPr>
        <w:pStyle w:val="2"/>
        <w:autoSpaceDE/>
        <w:autoSpaceDN/>
        <w:spacing w:before="120" w:beforeLines="50" w:after="120" w:afterLines="50" w:line="500" w:lineRule="exact"/>
        <w:ind w:firstLine="482" w:firstLineChars="200"/>
        <w:jc w:val="center"/>
        <w:rPr>
          <w:rFonts w:ascii="Times New Roman" w:hAnsi="Times New Roman" w:cs="Times New Roman"/>
          <w:color w:val="FF0000"/>
          <w:sz w:val="24"/>
          <w:szCs w:val="24"/>
          <w:lang w:val="en-US"/>
        </w:rPr>
      </w:pPr>
      <w:r>
        <w:rPr>
          <w:rFonts w:hint="eastAsia" w:ascii="Times New Roman" w:hAnsi="Times New Roman" w:cs="Times New Roman"/>
          <w:color w:val="0C0C0C" w:themeColor="text1" w:themeTint="F2"/>
          <w:sz w:val="24"/>
          <w:szCs w:val="24"/>
          <w:lang w:val="en-US"/>
        </w:rPr>
        <w:t>第四章  投资者关系管理的组织与实施</w:t>
      </w:r>
    </w:p>
    <w:p w14:paraId="65DB3BF4">
      <w:pPr>
        <w:pStyle w:val="4"/>
        <w:numPr>
          <w:ilvl w:val="0"/>
          <w:numId w:val="1"/>
        </w:numPr>
        <w:tabs>
          <w:tab w:val="left" w:pos="1581"/>
        </w:tabs>
        <w:autoSpaceDE/>
        <w:autoSpaceDN/>
        <w:spacing w:before="120" w:beforeLines="50" w:after="120" w:afterLines="50" w:line="500" w:lineRule="exact"/>
        <w:ind w:left="0" w:firstLine="480" w:firstLineChars="200"/>
        <w:rPr>
          <w:rFonts w:hint="eastAsia"/>
        </w:rPr>
      </w:pPr>
      <w:r>
        <w:rPr>
          <w:rFonts w:hint="eastAsia"/>
          <w:lang w:val="en-US"/>
        </w:rPr>
        <w:t xml:space="preserve"> </w:t>
      </w:r>
      <w:r>
        <w:t xml:space="preserve"> 公司投资者关系管理工作的主要职责包括：</w:t>
      </w:r>
    </w:p>
    <w:p w14:paraId="2697EF6F">
      <w:pPr>
        <w:pStyle w:val="4"/>
        <w:autoSpaceDE/>
        <w:autoSpaceDN/>
        <w:spacing w:before="120" w:beforeLines="50" w:after="120" w:afterLines="50" w:line="500" w:lineRule="exact"/>
        <w:ind w:left="0" w:firstLine="480" w:firstLineChars="200"/>
        <w:jc w:val="both"/>
        <w:rPr>
          <w:rFonts w:hint="eastAsia"/>
        </w:rPr>
      </w:pPr>
      <w:r>
        <w:t>（一）拟定投资者关系管理制度，建立工作机制；</w:t>
      </w:r>
    </w:p>
    <w:p w14:paraId="2DC94F77">
      <w:pPr>
        <w:pStyle w:val="4"/>
        <w:autoSpaceDE/>
        <w:autoSpaceDN/>
        <w:spacing w:before="120" w:beforeLines="50" w:after="120" w:afterLines="50" w:line="500" w:lineRule="exact"/>
        <w:ind w:left="0" w:firstLine="480" w:firstLineChars="200"/>
        <w:jc w:val="both"/>
        <w:rPr>
          <w:rFonts w:hint="eastAsia"/>
        </w:rPr>
      </w:pPr>
      <w:r>
        <w:t>（二）组织与投资者沟通联络的投资者关系管理活动；</w:t>
      </w:r>
    </w:p>
    <w:p w14:paraId="1EFA4F6A">
      <w:pPr>
        <w:pStyle w:val="4"/>
        <w:autoSpaceDE/>
        <w:autoSpaceDN/>
        <w:spacing w:before="120" w:beforeLines="50" w:after="120" w:afterLines="50" w:line="500" w:lineRule="exact"/>
        <w:ind w:left="0" w:firstLine="480" w:firstLineChars="200"/>
        <w:jc w:val="both"/>
        <w:rPr>
          <w:rFonts w:hint="eastAsia"/>
        </w:rPr>
      </w:pPr>
      <w:r>
        <w:t>（三）组织及时妥善处理投资者咨询、投诉和建议等诉求，定期反馈给公司董事会以及管理层；</w:t>
      </w:r>
    </w:p>
    <w:p w14:paraId="03C55E6B">
      <w:pPr>
        <w:pStyle w:val="4"/>
        <w:autoSpaceDE/>
        <w:autoSpaceDN/>
        <w:spacing w:before="120" w:beforeLines="50" w:after="120" w:afterLines="50" w:line="500" w:lineRule="exact"/>
        <w:ind w:left="0" w:firstLine="480" w:firstLineChars="200"/>
        <w:jc w:val="both"/>
        <w:rPr>
          <w:rFonts w:hint="eastAsia"/>
        </w:rPr>
      </w:pPr>
      <w:r>
        <w:t>（四）管理、运行和维护投资者关系管理的相关渠道和平台；</w:t>
      </w:r>
    </w:p>
    <w:p w14:paraId="45C3D83B">
      <w:pPr>
        <w:pStyle w:val="4"/>
        <w:autoSpaceDE/>
        <w:autoSpaceDN/>
        <w:spacing w:before="120" w:beforeLines="50" w:after="120" w:afterLines="50" w:line="500" w:lineRule="exact"/>
        <w:ind w:left="0" w:firstLine="480" w:firstLineChars="200"/>
        <w:jc w:val="both"/>
        <w:rPr>
          <w:rFonts w:hint="eastAsia"/>
        </w:rPr>
      </w:pPr>
      <w:r>
        <w:t>（五）保障投资者依法行使股东权利；</w:t>
      </w:r>
    </w:p>
    <w:p w14:paraId="054B3377">
      <w:pPr>
        <w:pStyle w:val="4"/>
        <w:autoSpaceDE/>
        <w:autoSpaceDN/>
        <w:spacing w:before="120" w:beforeLines="50" w:after="120" w:afterLines="50" w:line="500" w:lineRule="exact"/>
        <w:ind w:left="0" w:firstLine="480" w:firstLineChars="200"/>
        <w:jc w:val="both"/>
        <w:rPr>
          <w:rFonts w:hint="eastAsia"/>
        </w:rPr>
      </w:pPr>
      <w:r>
        <w:t>（六）配合支持投资者保护机构开展维护投资者合法权益的相关工作；</w:t>
      </w:r>
    </w:p>
    <w:p w14:paraId="31022284">
      <w:pPr>
        <w:pStyle w:val="4"/>
        <w:autoSpaceDE/>
        <w:autoSpaceDN/>
        <w:spacing w:before="120" w:beforeLines="50" w:after="120" w:afterLines="50" w:line="500" w:lineRule="exact"/>
        <w:ind w:left="0" w:firstLine="480" w:firstLineChars="200"/>
        <w:jc w:val="both"/>
        <w:rPr>
          <w:rFonts w:hint="eastAsia"/>
        </w:rPr>
      </w:pPr>
      <w:r>
        <w:t>（七）统计分析公司投资者的数量、构成以及变动等情况；</w:t>
      </w:r>
    </w:p>
    <w:p w14:paraId="39F2E3F7">
      <w:pPr>
        <w:pStyle w:val="4"/>
        <w:autoSpaceDE/>
        <w:autoSpaceDN/>
        <w:spacing w:before="120" w:beforeLines="50" w:after="120" w:afterLines="50" w:line="500" w:lineRule="exact"/>
        <w:ind w:left="0" w:firstLine="480" w:firstLineChars="200"/>
        <w:jc w:val="both"/>
        <w:rPr>
          <w:rFonts w:hint="eastAsia"/>
        </w:rPr>
      </w:pPr>
      <w:r>
        <w:t>（八）开展有利于改善投资者关系的其他活动。</w:t>
      </w:r>
    </w:p>
    <w:p w14:paraId="3620558B">
      <w:pPr>
        <w:pStyle w:val="4"/>
        <w:numPr>
          <w:ilvl w:val="0"/>
          <w:numId w:val="1"/>
        </w:numPr>
        <w:tabs>
          <w:tab w:val="left" w:pos="1581"/>
        </w:tabs>
        <w:autoSpaceDE/>
        <w:autoSpaceDN/>
        <w:spacing w:before="120" w:beforeLines="50" w:after="120" w:afterLines="50" w:line="500" w:lineRule="exact"/>
        <w:ind w:left="0" w:firstLine="460" w:firstLineChars="200"/>
        <w:rPr>
          <w:rFonts w:hint="eastAsia"/>
        </w:rPr>
      </w:pPr>
      <w:r>
        <w:rPr>
          <w:rFonts w:hint="eastAsia"/>
          <w:spacing w:val="-5"/>
          <w:lang w:val="en-US"/>
        </w:rPr>
        <w:t xml:space="preserve"> </w:t>
      </w:r>
      <w:r>
        <w:rPr>
          <w:spacing w:val="-5"/>
        </w:rPr>
        <w:t xml:space="preserve"> 公司董事会秘书为公司投资者关系管理的负责人。董事会办公室</w:t>
      </w:r>
      <w:r>
        <w:rPr>
          <w:spacing w:val="-7"/>
        </w:rPr>
        <w:t>是公司投资者关系管理的职能部门</w:t>
      </w:r>
      <w:r>
        <w:rPr>
          <w:rFonts w:hint="eastAsia"/>
          <w:spacing w:val="-7"/>
        </w:rPr>
        <w:t>。</w:t>
      </w:r>
      <w:r>
        <w:rPr>
          <w:spacing w:val="-7"/>
        </w:rPr>
        <w:t>董事会秘书负责组织和协调投资者关系管理工作。公司控股股东、实际控制人以及董事和</w:t>
      </w:r>
      <w:r>
        <w:rPr>
          <w:rFonts w:hint="eastAsia"/>
          <w:spacing w:val="-7"/>
          <w:lang w:val="en-US"/>
        </w:rPr>
        <w:t>其他</w:t>
      </w:r>
      <w:r>
        <w:rPr>
          <w:spacing w:val="-7"/>
        </w:rPr>
        <w:t>高级管理人员应当为董事会秘书履行投资者关系管理工作职责提供</w:t>
      </w:r>
      <w:r>
        <w:rPr>
          <w:rFonts w:hint="eastAsia"/>
          <w:spacing w:val="-7"/>
          <w:lang w:val="en-US"/>
        </w:rPr>
        <w:t>必要的</w:t>
      </w:r>
      <w:r>
        <w:rPr>
          <w:spacing w:val="-7"/>
        </w:rPr>
        <w:t>便利条件。</w:t>
      </w:r>
    </w:p>
    <w:p w14:paraId="117E9508">
      <w:pPr>
        <w:pStyle w:val="4"/>
        <w:numPr>
          <w:ilvl w:val="0"/>
          <w:numId w:val="1"/>
        </w:numPr>
        <w:tabs>
          <w:tab w:val="left" w:pos="1581"/>
        </w:tabs>
        <w:autoSpaceDE/>
        <w:autoSpaceDN/>
        <w:spacing w:before="120" w:beforeLines="50" w:after="120" w:afterLines="50" w:line="500" w:lineRule="exact"/>
        <w:ind w:left="0" w:firstLine="452" w:firstLineChars="200"/>
        <w:rPr>
          <w:rFonts w:hint="eastAsia"/>
          <w:spacing w:val="-7"/>
          <w:lang w:val="en-US"/>
        </w:rPr>
      </w:pPr>
      <w:r>
        <w:rPr>
          <w:rFonts w:hint="eastAsia"/>
          <w:spacing w:val="-7"/>
          <w:lang w:val="en-US"/>
        </w:rPr>
        <w:t xml:space="preserve">  公司及公司控股股东、实际控制人、董事、高级管理人员和其他工作人员不得在投资者关系管理活动中出现下列情形：</w:t>
      </w:r>
    </w:p>
    <w:p w14:paraId="40281E16">
      <w:pPr>
        <w:pStyle w:val="4"/>
        <w:numPr>
          <w:ilvl w:val="255"/>
          <w:numId w:val="0"/>
        </w:numPr>
        <w:tabs>
          <w:tab w:val="left" w:pos="1581"/>
        </w:tabs>
        <w:autoSpaceDE/>
        <w:autoSpaceDN/>
        <w:spacing w:before="120" w:beforeLines="50" w:after="120" w:afterLines="50" w:line="500" w:lineRule="exact"/>
        <w:ind w:firstLine="452" w:firstLineChars="200"/>
        <w:rPr>
          <w:rFonts w:hint="eastAsia"/>
          <w:spacing w:val="-7"/>
          <w:lang w:val="en-US"/>
        </w:rPr>
      </w:pPr>
      <w:r>
        <w:rPr>
          <w:rFonts w:hint="eastAsia"/>
          <w:spacing w:val="-7"/>
          <w:lang w:val="en-US"/>
        </w:rPr>
        <w:t>（一）透露或者发布尚未公开的重大事件信息，或者与依法披露的信息相冲突的信息；</w:t>
      </w:r>
    </w:p>
    <w:p w14:paraId="5E170516">
      <w:pPr>
        <w:pStyle w:val="4"/>
        <w:numPr>
          <w:ilvl w:val="255"/>
          <w:numId w:val="0"/>
        </w:numPr>
        <w:tabs>
          <w:tab w:val="left" w:pos="1581"/>
        </w:tabs>
        <w:autoSpaceDE/>
        <w:autoSpaceDN/>
        <w:spacing w:before="120" w:beforeLines="50" w:after="120" w:afterLines="50" w:line="500" w:lineRule="exact"/>
        <w:ind w:firstLine="452" w:firstLineChars="200"/>
        <w:rPr>
          <w:rFonts w:hint="eastAsia"/>
          <w:spacing w:val="-7"/>
          <w:lang w:val="en-US"/>
        </w:rPr>
      </w:pPr>
      <w:r>
        <w:rPr>
          <w:rFonts w:hint="eastAsia"/>
          <w:spacing w:val="-7"/>
          <w:lang w:val="en-US"/>
        </w:rPr>
        <w:t>（二）透露或者发布含有误导性、虚假性或者夸大性的信息；</w:t>
      </w:r>
    </w:p>
    <w:p w14:paraId="342B07B1">
      <w:pPr>
        <w:pStyle w:val="4"/>
        <w:numPr>
          <w:ilvl w:val="255"/>
          <w:numId w:val="0"/>
        </w:numPr>
        <w:tabs>
          <w:tab w:val="left" w:pos="1581"/>
        </w:tabs>
        <w:autoSpaceDE/>
        <w:autoSpaceDN/>
        <w:spacing w:before="120" w:beforeLines="50" w:after="120" w:afterLines="50" w:line="500" w:lineRule="exact"/>
        <w:ind w:firstLine="452" w:firstLineChars="200"/>
        <w:rPr>
          <w:rFonts w:hint="eastAsia"/>
          <w:spacing w:val="-7"/>
          <w:lang w:val="en-US"/>
        </w:rPr>
      </w:pPr>
      <w:r>
        <w:rPr>
          <w:rFonts w:hint="eastAsia"/>
          <w:spacing w:val="-7"/>
          <w:lang w:val="en-US"/>
        </w:rPr>
        <w:t>（三）选择性透露或者发布信息，或者存在重大遗漏；</w:t>
      </w:r>
    </w:p>
    <w:p w14:paraId="71D2DDF3">
      <w:pPr>
        <w:pStyle w:val="4"/>
        <w:numPr>
          <w:ilvl w:val="255"/>
          <w:numId w:val="0"/>
        </w:numPr>
        <w:tabs>
          <w:tab w:val="left" w:pos="1581"/>
        </w:tabs>
        <w:autoSpaceDE/>
        <w:autoSpaceDN/>
        <w:spacing w:before="120" w:beforeLines="50" w:after="120" w:afterLines="50" w:line="500" w:lineRule="exact"/>
        <w:ind w:firstLine="452" w:firstLineChars="200"/>
        <w:rPr>
          <w:rFonts w:hint="eastAsia"/>
          <w:spacing w:val="-7"/>
          <w:lang w:val="en-US"/>
        </w:rPr>
      </w:pPr>
      <w:r>
        <w:rPr>
          <w:rFonts w:hint="eastAsia"/>
          <w:spacing w:val="-7"/>
          <w:lang w:val="en-US"/>
        </w:rPr>
        <w:t>（四）对公司证券价格作出预测或承诺；</w:t>
      </w:r>
    </w:p>
    <w:p w14:paraId="4199AC83">
      <w:pPr>
        <w:pStyle w:val="4"/>
        <w:numPr>
          <w:ilvl w:val="255"/>
          <w:numId w:val="0"/>
        </w:numPr>
        <w:tabs>
          <w:tab w:val="left" w:pos="1581"/>
        </w:tabs>
        <w:autoSpaceDE/>
        <w:autoSpaceDN/>
        <w:spacing w:before="120" w:beforeLines="50" w:after="120" w:afterLines="50" w:line="500" w:lineRule="exact"/>
        <w:ind w:firstLine="452" w:firstLineChars="200"/>
        <w:rPr>
          <w:rFonts w:hint="eastAsia"/>
          <w:spacing w:val="-7"/>
          <w:lang w:val="en-US"/>
        </w:rPr>
      </w:pPr>
      <w:r>
        <w:rPr>
          <w:rFonts w:hint="eastAsia"/>
          <w:spacing w:val="-7"/>
          <w:lang w:val="en-US"/>
        </w:rPr>
        <w:t>（五）未得到明确授权的情况下代表公司发言；</w:t>
      </w:r>
    </w:p>
    <w:p w14:paraId="3F7BF388">
      <w:pPr>
        <w:pStyle w:val="4"/>
        <w:numPr>
          <w:ilvl w:val="255"/>
          <w:numId w:val="0"/>
        </w:numPr>
        <w:tabs>
          <w:tab w:val="left" w:pos="1581"/>
        </w:tabs>
        <w:autoSpaceDE/>
        <w:autoSpaceDN/>
        <w:spacing w:before="120" w:beforeLines="50" w:after="120" w:afterLines="50" w:line="500" w:lineRule="exact"/>
        <w:ind w:firstLine="452" w:firstLineChars="200"/>
        <w:rPr>
          <w:rFonts w:hint="eastAsia"/>
          <w:spacing w:val="-7"/>
          <w:lang w:val="en-US"/>
        </w:rPr>
      </w:pPr>
      <w:r>
        <w:rPr>
          <w:rFonts w:hint="eastAsia"/>
          <w:spacing w:val="-7"/>
          <w:lang w:val="en-US"/>
        </w:rPr>
        <w:t>（六）歧视、轻视等不公平对待中小股东或者造成不公平披露的行为；</w:t>
      </w:r>
    </w:p>
    <w:p w14:paraId="113A8F5C">
      <w:pPr>
        <w:pStyle w:val="4"/>
        <w:numPr>
          <w:ilvl w:val="255"/>
          <w:numId w:val="0"/>
        </w:numPr>
        <w:tabs>
          <w:tab w:val="left" w:pos="1581"/>
        </w:tabs>
        <w:autoSpaceDE/>
        <w:autoSpaceDN/>
        <w:spacing w:before="120" w:beforeLines="50" w:after="120" w:afterLines="50" w:line="500" w:lineRule="exact"/>
        <w:ind w:firstLine="452" w:firstLineChars="200"/>
        <w:rPr>
          <w:rFonts w:hint="eastAsia"/>
          <w:spacing w:val="-7"/>
          <w:lang w:val="en-US"/>
        </w:rPr>
      </w:pPr>
      <w:r>
        <w:rPr>
          <w:rFonts w:hint="eastAsia"/>
          <w:spacing w:val="-7"/>
          <w:lang w:val="en-US"/>
        </w:rPr>
        <w:t>（七）违反公序良俗，损害社会公共利益；</w:t>
      </w:r>
    </w:p>
    <w:p w14:paraId="0E9A85EE">
      <w:pPr>
        <w:pStyle w:val="4"/>
        <w:numPr>
          <w:ilvl w:val="255"/>
          <w:numId w:val="0"/>
        </w:numPr>
        <w:tabs>
          <w:tab w:val="left" w:pos="1581"/>
        </w:tabs>
        <w:autoSpaceDE/>
        <w:autoSpaceDN/>
        <w:spacing w:before="120" w:beforeLines="50" w:after="120" w:afterLines="50" w:line="500" w:lineRule="exact"/>
        <w:ind w:firstLine="452" w:firstLineChars="200"/>
        <w:rPr>
          <w:rFonts w:hint="eastAsia"/>
          <w:spacing w:val="-7"/>
          <w:lang w:val="en-US"/>
        </w:rPr>
      </w:pPr>
      <w:r>
        <w:rPr>
          <w:rFonts w:hint="eastAsia"/>
          <w:spacing w:val="-7"/>
          <w:lang w:val="en-US"/>
        </w:rPr>
        <w:t>（八）其他违反信息披露规定，或者影响公司证券及其衍生品种正常交易的违法违规行为。</w:t>
      </w:r>
    </w:p>
    <w:p w14:paraId="5910B634">
      <w:pPr>
        <w:pStyle w:val="4"/>
        <w:numPr>
          <w:ilvl w:val="0"/>
          <w:numId w:val="1"/>
        </w:numPr>
        <w:tabs>
          <w:tab w:val="left" w:pos="1581"/>
        </w:tabs>
        <w:autoSpaceDE/>
        <w:autoSpaceDN/>
        <w:spacing w:before="120" w:beforeLines="50" w:after="120" w:afterLines="50" w:line="500" w:lineRule="exact"/>
        <w:ind w:left="0" w:firstLine="452" w:firstLineChars="200"/>
        <w:rPr>
          <w:rFonts w:hint="eastAsia"/>
          <w:spacing w:val="-1"/>
        </w:rPr>
      </w:pPr>
      <w:r>
        <w:rPr>
          <w:rFonts w:hint="eastAsia"/>
          <w:spacing w:val="-7"/>
          <w:lang w:val="en-US"/>
        </w:rPr>
        <w:t xml:space="preserve">  </w:t>
      </w:r>
      <w:r>
        <w:rPr>
          <w:spacing w:val="-1"/>
        </w:rPr>
        <w:t>公司从事投资者关系</w:t>
      </w:r>
      <w:r>
        <w:rPr>
          <w:rFonts w:hint="eastAsia"/>
          <w:spacing w:val="-1"/>
          <w:lang w:val="en-US"/>
        </w:rPr>
        <w:t>管理</w:t>
      </w:r>
      <w:r>
        <w:rPr>
          <w:spacing w:val="-1"/>
        </w:rPr>
        <w:t xml:space="preserve">工作的人员需要具备以下素质和技能： </w:t>
      </w:r>
    </w:p>
    <w:p w14:paraId="712AD250">
      <w:pPr>
        <w:pStyle w:val="4"/>
        <w:autoSpaceDE/>
        <w:autoSpaceDN/>
        <w:spacing w:before="120" w:beforeLines="50" w:after="120" w:afterLines="50" w:line="500" w:lineRule="exact"/>
        <w:ind w:left="0" w:firstLine="480" w:firstLineChars="200"/>
        <w:rPr>
          <w:rFonts w:hint="eastAsia"/>
        </w:rPr>
      </w:pPr>
      <w:r>
        <w:rPr>
          <w:rFonts w:hint="eastAsia"/>
        </w:rPr>
        <w:t>（</w:t>
      </w:r>
      <w:r>
        <w:t>一</w:t>
      </w:r>
      <w:r>
        <w:rPr>
          <w:rFonts w:hint="eastAsia"/>
        </w:rPr>
        <w:t>）</w:t>
      </w:r>
      <w:r>
        <w:rPr>
          <w:spacing w:val="-2"/>
        </w:rPr>
        <w:t>具有良好的品行</w:t>
      </w:r>
      <w:r>
        <w:rPr>
          <w:rFonts w:hint="eastAsia"/>
          <w:spacing w:val="-2"/>
          <w:lang w:val="en-US"/>
        </w:rPr>
        <w:t>和职业素养</w:t>
      </w:r>
      <w:r>
        <w:rPr>
          <w:spacing w:val="-2"/>
        </w:rPr>
        <w:t>，诚实</w:t>
      </w:r>
      <w:r>
        <w:rPr>
          <w:rFonts w:hint="eastAsia"/>
          <w:spacing w:val="-2"/>
          <w:lang w:val="en-US"/>
        </w:rPr>
        <w:t>守信</w:t>
      </w:r>
      <w:r>
        <w:rPr>
          <w:rFonts w:hint="eastAsia"/>
        </w:rPr>
        <w:t>；</w:t>
      </w:r>
    </w:p>
    <w:p w14:paraId="12D336B5">
      <w:pPr>
        <w:pStyle w:val="4"/>
        <w:autoSpaceDE/>
        <w:autoSpaceDN/>
        <w:spacing w:before="120" w:beforeLines="50" w:after="120" w:afterLines="50" w:line="500" w:lineRule="exact"/>
        <w:ind w:left="0" w:firstLine="480" w:firstLineChars="200"/>
        <w:rPr>
          <w:rFonts w:hint="eastAsia"/>
        </w:rPr>
      </w:pPr>
      <w:r>
        <w:rPr>
          <w:rFonts w:hint="eastAsia"/>
        </w:rPr>
        <w:t>（</w:t>
      </w:r>
      <w:r>
        <w:t>二</w:t>
      </w:r>
      <w:r>
        <w:rPr>
          <w:rFonts w:hint="eastAsia"/>
        </w:rPr>
        <w:t>）</w:t>
      </w:r>
      <w:r>
        <w:t>具备良好的知识结构，熟悉公司治理、财务会计等相关法律、法规和证券市场的运作机制</w:t>
      </w:r>
      <w:r>
        <w:rPr>
          <w:rFonts w:hint="eastAsia"/>
        </w:rPr>
        <w:t>；</w:t>
      </w:r>
    </w:p>
    <w:p w14:paraId="4BE68A1B">
      <w:pPr>
        <w:pStyle w:val="4"/>
        <w:autoSpaceDE/>
        <w:autoSpaceDN/>
        <w:spacing w:before="120" w:beforeLines="50" w:after="120" w:afterLines="50" w:line="500" w:lineRule="exact"/>
        <w:ind w:left="0" w:firstLine="472" w:firstLineChars="200"/>
        <w:rPr>
          <w:rFonts w:hint="eastAsia"/>
          <w:spacing w:val="-2"/>
        </w:rPr>
      </w:pPr>
      <w:r>
        <w:rPr>
          <w:rFonts w:hint="eastAsia"/>
          <w:spacing w:val="-2"/>
        </w:rPr>
        <w:t>（</w:t>
      </w:r>
      <w:r>
        <w:rPr>
          <w:spacing w:val="-2"/>
        </w:rPr>
        <w:t>三</w:t>
      </w:r>
      <w:r>
        <w:rPr>
          <w:rFonts w:hint="eastAsia"/>
          <w:spacing w:val="-2"/>
        </w:rPr>
        <w:t>）</w:t>
      </w:r>
      <w:r>
        <w:rPr>
          <w:spacing w:val="-2"/>
        </w:rPr>
        <w:t>具有良好的沟通和协调能力</w:t>
      </w:r>
      <w:r>
        <w:rPr>
          <w:rFonts w:hint="eastAsia"/>
          <w:spacing w:val="-2"/>
        </w:rPr>
        <w:t>；</w:t>
      </w:r>
    </w:p>
    <w:p w14:paraId="664D0B2B">
      <w:pPr>
        <w:pStyle w:val="4"/>
        <w:autoSpaceDE/>
        <w:autoSpaceDN/>
        <w:spacing w:before="120" w:beforeLines="50" w:after="120" w:afterLines="50" w:line="500" w:lineRule="exact"/>
        <w:ind w:left="0" w:firstLine="472" w:firstLineChars="200"/>
        <w:rPr>
          <w:rFonts w:hint="eastAsia"/>
        </w:rPr>
      </w:pPr>
      <w:r>
        <w:rPr>
          <w:rFonts w:hint="eastAsia"/>
          <w:spacing w:val="-2"/>
        </w:rPr>
        <w:t>（</w:t>
      </w:r>
      <w:r>
        <w:rPr>
          <w:spacing w:val="-2"/>
        </w:rPr>
        <w:t>四</w:t>
      </w:r>
      <w:r>
        <w:rPr>
          <w:rFonts w:hint="eastAsia"/>
          <w:spacing w:val="-2"/>
        </w:rPr>
        <w:t>）</w:t>
      </w:r>
      <w:r>
        <w:rPr>
          <w:spacing w:val="-2"/>
          <w:lang w:val="en-US"/>
        </w:rPr>
        <w:t>全面了解公司以及公司所处行业的情况</w:t>
      </w:r>
      <w:r>
        <w:rPr>
          <w:spacing w:val="-2"/>
        </w:rPr>
        <w:t>。</w:t>
      </w:r>
    </w:p>
    <w:p w14:paraId="34B256E6">
      <w:pPr>
        <w:pStyle w:val="4"/>
        <w:numPr>
          <w:ilvl w:val="0"/>
          <w:numId w:val="1"/>
        </w:numPr>
        <w:tabs>
          <w:tab w:val="left" w:pos="1581"/>
        </w:tabs>
        <w:autoSpaceDE/>
        <w:autoSpaceDN/>
        <w:spacing w:before="120" w:beforeLines="50" w:after="120" w:afterLines="50" w:line="500" w:lineRule="exact"/>
        <w:ind w:left="0" w:firstLine="460" w:firstLineChars="200"/>
        <w:rPr>
          <w:rFonts w:hint="eastAsia"/>
        </w:rPr>
      </w:pPr>
      <w:r>
        <w:rPr>
          <w:rFonts w:hint="eastAsia"/>
          <w:spacing w:val="-5"/>
          <w:lang w:val="en-US"/>
        </w:rPr>
        <w:t xml:space="preserve"> </w:t>
      </w:r>
      <w:r>
        <w:rPr>
          <w:spacing w:val="-5"/>
        </w:rPr>
        <w:t xml:space="preserve"> 公司</w:t>
      </w:r>
      <w:r>
        <w:rPr>
          <w:rFonts w:hint="eastAsia"/>
          <w:spacing w:val="-5"/>
        </w:rPr>
        <w:t>定期</w:t>
      </w:r>
      <w:r>
        <w:rPr>
          <w:spacing w:val="-5"/>
        </w:rPr>
        <w:t>对</w:t>
      </w:r>
      <w:r>
        <w:rPr>
          <w:rFonts w:hint="eastAsia"/>
          <w:spacing w:val="-5"/>
        </w:rPr>
        <w:t>控股股东、实际控制人、</w:t>
      </w:r>
      <w:r>
        <w:rPr>
          <w:spacing w:val="-5"/>
        </w:rPr>
        <w:t>董事、高级管理人员及相关</w:t>
      </w:r>
      <w:r>
        <w:rPr>
          <w:rFonts w:hint="eastAsia"/>
          <w:spacing w:val="-5"/>
        </w:rPr>
        <w:t>人员</w:t>
      </w:r>
      <w:r>
        <w:rPr>
          <w:spacing w:val="-5"/>
        </w:rPr>
        <w:t>进行投资者关系管理的系统培训，增强其对相关法律法规、</w:t>
      </w:r>
      <w:r>
        <w:rPr>
          <w:rFonts w:hint="eastAsia"/>
          <w:spacing w:val="-5"/>
          <w:lang w:val="en-US"/>
        </w:rPr>
        <w:t>深圳证券交易所</w:t>
      </w:r>
      <w:r>
        <w:rPr>
          <w:rFonts w:hint="eastAsia"/>
          <w:spacing w:val="-5"/>
        </w:rPr>
        <w:t>相关</w:t>
      </w:r>
      <w:r>
        <w:rPr>
          <w:spacing w:val="-5"/>
        </w:rPr>
        <w:t>规则和</w:t>
      </w:r>
      <w:r>
        <w:rPr>
          <w:rFonts w:hint="eastAsia"/>
          <w:spacing w:val="-5"/>
        </w:rPr>
        <w:t>公司</w:t>
      </w:r>
      <w:r>
        <w:rPr>
          <w:spacing w:val="-5"/>
        </w:rPr>
        <w:t>规章制度的理解。</w:t>
      </w:r>
    </w:p>
    <w:p w14:paraId="38BC8D12">
      <w:pPr>
        <w:pStyle w:val="4"/>
        <w:numPr>
          <w:ilvl w:val="0"/>
          <w:numId w:val="1"/>
        </w:numPr>
        <w:tabs>
          <w:tab w:val="left" w:pos="1581"/>
        </w:tabs>
        <w:autoSpaceDE/>
        <w:autoSpaceDN/>
        <w:spacing w:before="120" w:beforeLines="50" w:after="120" w:afterLines="50" w:line="500" w:lineRule="exact"/>
        <w:ind w:left="0" w:firstLine="460" w:firstLineChars="200"/>
        <w:rPr>
          <w:rFonts w:hint="eastAsia"/>
        </w:rPr>
      </w:pPr>
      <w:r>
        <w:rPr>
          <w:rFonts w:hint="eastAsia"/>
          <w:spacing w:val="-5"/>
          <w:lang w:val="en-US"/>
        </w:rPr>
        <w:t xml:space="preserve">  公司开展投资者关系管理各项活动应建立完备的投资者关系管理档案，投资者关系管理档案至少应包括下列内容：</w:t>
      </w:r>
    </w:p>
    <w:p w14:paraId="347CCB60">
      <w:pPr>
        <w:pStyle w:val="4"/>
        <w:numPr>
          <w:ilvl w:val="0"/>
          <w:numId w:val="2"/>
        </w:numPr>
        <w:tabs>
          <w:tab w:val="left" w:pos="1581"/>
        </w:tabs>
        <w:autoSpaceDE/>
        <w:autoSpaceDN/>
        <w:spacing w:before="120" w:beforeLines="50" w:after="120" w:afterLines="50" w:line="500" w:lineRule="exact"/>
        <w:ind w:left="0" w:firstLine="460" w:firstLineChars="200"/>
        <w:rPr>
          <w:rFonts w:hint="eastAsia"/>
          <w:spacing w:val="-5"/>
          <w:lang w:val="en-US"/>
        </w:rPr>
      </w:pPr>
      <w:r>
        <w:rPr>
          <w:rFonts w:hint="eastAsia"/>
          <w:spacing w:val="-5"/>
          <w:lang w:val="en-US"/>
        </w:rPr>
        <w:t>投资者关系活动参与人员、时间、地点；</w:t>
      </w:r>
    </w:p>
    <w:p w14:paraId="3292E191">
      <w:pPr>
        <w:pStyle w:val="4"/>
        <w:numPr>
          <w:ilvl w:val="0"/>
          <w:numId w:val="2"/>
        </w:numPr>
        <w:tabs>
          <w:tab w:val="left" w:pos="1581"/>
        </w:tabs>
        <w:autoSpaceDE/>
        <w:autoSpaceDN/>
        <w:spacing w:before="120" w:beforeLines="50" w:after="120" w:afterLines="50" w:line="500" w:lineRule="exact"/>
        <w:ind w:left="0" w:firstLine="460" w:firstLineChars="200"/>
        <w:rPr>
          <w:rFonts w:hint="eastAsia"/>
        </w:rPr>
      </w:pPr>
      <w:r>
        <w:rPr>
          <w:rFonts w:hint="eastAsia"/>
          <w:spacing w:val="-5"/>
          <w:lang w:val="en-US"/>
        </w:rPr>
        <w:t>投资者关系活动的交流内容；</w:t>
      </w:r>
    </w:p>
    <w:p w14:paraId="47E43A49">
      <w:pPr>
        <w:pStyle w:val="4"/>
        <w:numPr>
          <w:ilvl w:val="0"/>
          <w:numId w:val="2"/>
        </w:numPr>
        <w:tabs>
          <w:tab w:val="left" w:pos="1581"/>
        </w:tabs>
        <w:autoSpaceDE/>
        <w:autoSpaceDN/>
        <w:spacing w:before="120" w:beforeLines="50" w:after="120" w:afterLines="50" w:line="500" w:lineRule="exact"/>
        <w:ind w:left="0" w:firstLine="460" w:firstLineChars="200"/>
        <w:rPr>
          <w:rFonts w:hint="eastAsia"/>
        </w:rPr>
      </w:pPr>
      <w:r>
        <w:rPr>
          <w:rFonts w:hint="eastAsia"/>
          <w:spacing w:val="-5"/>
          <w:lang w:val="en-US"/>
        </w:rPr>
        <w:t>未公开重大信息泄密的处理过程及责任追究情况（如有）；</w:t>
      </w:r>
    </w:p>
    <w:p w14:paraId="199CEEB8">
      <w:pPr>
        <w:pStyle w:val="4"/>
        <w:numPr>
          <w:ilvl w:val="0"/>
          <w:numId w:val="2"/>
        </w:numPr>
        <w:tabs>
          <w:tab w:val="left" w:pos="1581"/>
        </w:tabs>
        <w:autoSpaceDE/>
        <w:autoSpaceDN/>
        <w:spacing w:before="120" w:beforeLines="50" w:after="120" w:afterLines="50" w:line="500" w:lineRule="exact"/>
        <w:ind w:left="0" w:firstLine="460" w:firstLineChars="200"/>
        <w:rPr>
          <w:rFonts w:hint="eastAsia"/>
        </w:rPr>
      </w:pPr>
      <w:r>
        <w:rPr>
          <w:rFonts w:hint="eastAsia"/>
          <w:spacing w:val="-5"/>
          <w:lang w:val="en-US"/>
        </w:rPr>
        <w:t>其他内容。</w:t>
      </w:r>
    </w:p>
    <w:p w14:paraId="0D61DD36">
      <w:pPr>
        <w:pStyle w:val="4"/>
        <w:numPr>
          <w:ilvl w:val="255"/>
          <w:numId w:val="0"/>
        </w:numPr>
        <w:tabs>
          <w:tab w:val="left" w:pos="1581"/>
        </w:tabs>
        <w:autoSpaceDE/>
        <w:autoSpaceDN/>
        <w:spacing w:before="120" w:beforeLines="50" w:after="120" w:afterLines="50" w:line="500" w:lineRule="exact"/>
        <w:ind w:firstLine="460" w:firstLineChars="200"/>
        <w:rPr>
          <w:rFonts w:hint="eastAsia"/>
        </w:rPr>
      </w:pPr>
      <w:r>
        <w:rPr>
          <w:rFonts w:hint="eastAsia"/>
          <w:spacing w:val="-5"/>
          <w:lang w:val="en-US"/>
        </w:rPr>
        <w:t>投资者关系管理档案应当按照投资者关系管理的方式进行分类，将相关记录、现场录音、演示文稿、活动中提供的文档（如有）等文件资料存档并妥善保管，保存期限不得少于</w:t>
      </w:r>
      <w:r>
        <w:rPr>
          <w:rFonts w:ascii="Times New Roman" w:hAnsi="Times New Roman" w:cs="Times New Roman"/>
          <w:spacing w:val="-5"/>
          <w:lang w:val="en-US"/>
        </w:rPr>
        <w:t>3</w:t>
      </w:r>
      <w:r>
        <w:rPr>
          <w:rFonts w:hint="eastAsia"/>
          <w:spacing w:val="-5"/>
          <w:lang w:val="en-US"/>
        </w:rPr>
        <w:t>年。</w:t>
      </w:r>
    </w:p>
    <w:p w14:paraId="7E700E52">
      <w:pPr>
        <w:pStyle w:val="2"/>
        <w:autoSpaceDE/>
        <w:autoSpaceDN/>
        <w:spacing w:before="120" w:beforeLines="50" w:after="120" w:afterLines="50" w:line="500" w:lineRule="exact"/>
        <w:ind w:firstLine="482" w:firstLineChars="200"/>
        <w:jc w:val="center"/>
        <w:rPr>
          <w:rFonts w:hint="eastAsia"/>
          <w:spacing w:val="-8"/>
          <w:sz w:val="24"/>
          <w:szCs w:val="24"/>
          <w:lang w:val="en-US"/>
        </w:rPr>
      </w:pPr>
      <w:r>
        <w:rPr>
          <w:rFonts w:hint="eastAsia" w:ascii="Times New Roman" w:hAnsi="Times New Roman" w:cs="Times New Roman"/>
          <w:color w:val="000000" w:themeColor="text1"/>
          <w:sz w:val="24"/>
          <w:szCs w:val="24"/>
          <w:lang w:val="en-US"/>
        </w:rPr>
        <w:t>第五章  附  则</w:t>
      </w:r>
    </w:p>
    <w:p w14:paraId="2BE2585A">
      <w:pPr>
        <w:pStyle w:val="4"/>
        <w:numPr>
          <w:ilvl w:val="0"/>
          <w:numId w:val="1"/>
        </w:numPr>
        <w:tabs>
          <w:tab w:val="left" w:pos="1581"/>
        </w:tabs>
        <w:autoSpaceDE/>
        <w:autoSpaceDN/>
        <w:spacing w:before="120" w:beforeLines="50" w:after="120" w:afterLines="50" w:line="500" w:lineRule="exact"/>
        <w:ind w:left="0" w:firstLine="448" w:firstLineChars="200"/>
        <w:rPr>
          <w:rFonts w:hint="eastAsia"/>
        </w:rPr>
      </w:pPr>
      <w:r>
        <w:rPr>
          <w:rFonts w:hint="eastAsia"/>
          <w:spacing w:val="-8"/>
          <w:lang w:val="en-US"/>
        </w:rPr>
        <w:t xml:space="preserve"> </w:t>
      </w:r>
      <w:r>
        <w:rPr>
          <w:spacing w:val="-8"/>
        </w:rPr>
        <w:t xml:space="preserve"> 本制度未尽事宜，按</w:t>
      </w:r>
      <w:r>
        <w:rPr>
          <w:rFonts w:hint="eastAsia"/>
          <w:spacing w:val="-8"/>
          <w:lang w:val="en-US"/>
        </w:rPr>
        <w:t>国家</w:t>
      </w:r>
      <w:r>
        <w:rPr>
          <w:spacing w:val="-8"/>
        </w:rPr>
        <w:t>有关法律法规</w:t>
      </w:r>
      <w:r>
        <w:rPr>
          <w:rFonts w:hint="eastAsia"/>
          <w:spacing w:val="-8"/>
        </w:rPr>
        <w:t>、</w:t>
      </w:r>
      <w:r>
        <w:rPr>
          <w:spacing w:val="-8"/>
        </w:rPr>
        <w:t>规范性文件</w:t>
      </w:r>
      <w:r>
        <w:rPr>
          <w:rFonts w:hint="eastAsia"/>
          <w:spacing w:val="-8"/>
          <w:lang w:val="en-US"/>
        </w:rPr>
        <w:t>及《公司章程》</w:t>
      </w:r>
      <w:r>
        <w:rPr>
          <w:rFonts w:hint="eastAsia"/>
          <w:spacing w:val="-8"/>
        </w:rPr>
        <w:t>等</w:t>
      </w:r>
      <w:r>
        <w:rPr>
          <w:spacing w:val="-8"/>
        </w:rPr>
        <w:t>有关规定</w:t>
      </w:r>
      <w:r>
        <w:t>执行。</w:t>
      </w:r>
    </w:p>
    <w:p w14:paraId="6371E501">
      <w:pPr>
        <w:pStyle w:val="4"/>
        <w:numPr>
          <w:ilvl w:val="0"/>
          <w:numId w:val="1"/>
        </w:numPr>
        <w:tabs>
          <w:tab w:val="left" w:pos="1581"/>
        </w:tabs>
        <w:autoSpaceDE/>
        <w:autoSpaceDN/>
        <w:spacing w:before="120" w:beforeLines="50" w:after="120" w:afterLines="50" w:line="500" w:lineRule="exact"/>
        <w:ind w:left="0" w:firstLine="480" w:firstLineChars="200"/>
        <w:rPr>
          <w:rFonts w:hint="eastAsia"/>
        </w:rPr>
      </w:pPr>
      <w:r>
        <w:rPr>
          <w:rFonts w:hint="eastAsia"/>
          <w:lang w:val="en-US"/>
        </w:rPr>
        <w:t xml:space="preserve"> </w:t>
      </w:r>
      <w:r>
        <w:t xml:space="preserve"> 本制度</w:t>
      </w:r>
      <w:r>
        <w:rPr>
          <w:rFonts w:hint="eastAsia"/>
          <w:lang w:val="en-US"/>
        </w:rPr>
        <w:t>自公司</w:t>
      </w:r>
      <w:r>
        <w:t>董事会审议通过</w:t>
      </w:r>
      <w:r>
        <w:rPr>
          <w:rFonts w:hint="eastAsia"/>
          <w:lang w:val="en-US"/>
        </w:rPr>
        <w:t>后生效</w:t>
      </w:r>
      <w:r>
        <w:t>。</w:t>
      </w:r>
    </w:p>
    <w:sectPr>
      <w:footerReference r:id="rId3" w:type="default"/>
      <w:pgSz w:w="11910" w:h="16840"/>
      <w:pgMar w:top="1540" w:right="1560" w:bottom="1180" w:left="1680" w:header="0" w:footer="993"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A1ED56">
    <w:pPr>
      <w:pStyle w:val="4"/>
      <w:spacing w:line="14" w:lineRule="auto"/>
      <w:ind w:left="440" w:firstLine="0"/>
      <w:rPr>
        <w:rFonts w:hint="eastAsia"/>
        <w:sz w:val="20"/>
      </w:rPr>
    </w:pPr>
    <w:r>
      <w:rPr>
        <w:rFonts w:hint="eastAsia"/>
      </w:rPr>
      <w:pict>
        <v:shape id="_x0000_s3073" o:spid="_x0000_s3073" o:spt="202" type="#_x0000_t202" style="position:absolute;left:0pt;margin-left:293.45pt;margin-top:781.25pt;height:12pt;width:8.5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14:paraId="09940030">
                <w:pPr>
                  <w:spacing w:before="12"/>
                  <w:ind w:left="40"/>
                  <w:rPr>
                    <w:rFonts w:ascii="Times New Roman" w:hAnsi="Times New Roman" w:cs="Times New Roman"/>
                    <w:sz w:val="18"/>
                  </w:rPr>
                </w:pPr>
                <w:r>
                  <w:rPr>
                    <w:rFonts w:ascii="Times New Roman" w:hAnsi="Times New Roman" w:cs="Times New Roman"/>
                  </w:rPr>
                  <w:fldChar w:fldCharType="begin"/>
                </w:r>
                <w:r>
                  <w:rPr>
                    <w:rFonts w:ascii="Times New Roman" w:hAnsi="Times New Roman" w:cs="Times New Roman"/>
                    <w:sz w:val="18"/>
                  </w:rPr>
                  <w:instrText xml:space="preserve"> PAGE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C6AF8C"/>
    <w:multiLevelType w:val="singleLevel"/>
    <w:tmpl w:val="9BC6AF8C"/>
    <w:lvl w:ilvl="0" w:tentative="0">
      <w:start w:val="1"/>
      <w:numFmt w:val="chineseCounting"/>
      <w:suff w:val="nothing"/>
      <w:lvlText w:val="第%1条"/>
      <w:lvlJc w:val="left"/>
      <w:rPr>
        <w:rFonts w:hint="eastAsia" w:asciiTheme="minorEastAsia" w:hAnsiTheme="minorEastAsia" w:eastAsiaTheme="minorEastAsia" w:cstheme="minorEastAsia"/>
        <w:b/>
        <w:bCs/>
      </w:rPr>
    </w:lvl>
  </w:abstractNum>
  <w:abstractNum w:abstractNumId="1">
    <w:nsid w:val="1FA1DA0B"/>
    <w:multiLevelType w:val="singleLevel"/>
    <w:tmpl w:val="1FA1DA0B"/>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noPunctuationKerning w:val="1"/>
  <w:characterSpacingControl w:val="doNotCompress"/>
  <w:hdrShapeDefaults>
    <o:shapelayout v:ext="edit">
      <o:idmap v:ext="edit" data="1,3"/>
    </o:shapelayout>
  </w:hdrShapeDefaults>
  <w:compat>
    <w:ulTrailSpace/>
    <w:doNotExpandShiftReturn/>
    <w:doNotWrapTextWithPunct/>
    <w:doNotUseEastAsianBreakRules/>
    <w:useFELayout/>
    <w:doNotUseIndentAsNumberingTabStop/>
    <w:compatSetting w:name="compatibilityMode" w:uri="http://schemas.microsoft.com/office/word" w:val="12"/>
  </w:compat>
  <w:docVars>
    <w:docVar w:name="commondata" w:val="eyJoZGlkIjoiZjNiMzQ4MDZlNWYwNzEwODVkMjAzNjIxM2M2NjM5N2IifQ=="/>
  </w:docVars>
  <w:rsids>
    <w:rsidRoot w:val="006660E3"/>
    <w:rsid w:val="00104801"/>
    <w:rsid w:val="00296256"/>
    <w:rsid w:val="00326C55"/>
    <w:rsid w:val="005A0A5B"/>
    <w:rsid w:val="00635A72"/>
    <w:rsid w:val="006660E3"/>
    <w:rsid w:val="00AC1988"/>
    <w:rsid w:val="00BB1673"/>
    <w:rsid w:val="00DA0DDA"/>
    <w:rsid w:val="00FA1EEC"/>
    <w:rsid w:val="0185453A"/>
    <w:rsid w:val="0A4B77A0"/>
    <w:rsid w:val="0AB01364"/>
    <w:rsid w:val="0F531FA5"/>
    <w:rsid w:val="237A7D5A"/>
    <w:rsid w:val="2E796AFC"/>
    <w:rsid w:val="3062031F"/>
    <w:rsid w:val="30CC1C6C"/>
    <w:rsid w:val="355F492E"/>
    <w:rsid w:val="42C10AF3"/>
    <w:rsid w:val="43137E91"/>
    <w:rsid w:val="439C1BDB"/>
    <w:rsid w:val="44F17D9D"/>
    <w:rsid w:val="490B0525"/>
    <w:rsid w:val="4BE752EE"/>
    <w:rsid w:val="4CA607E0"/>
    <w:rsid w:val="50E56E68"/>
    <w:rsid w:val="742D3424"/>
    <w:rsid w:val="74C93260"/>
    <w:rsid w:val="762229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autoRedefine/>
    <w:qFormat/>
    <w:uiPriority w:val="0"/>
    <w:pPr>
      <w:outlineLvl w:val="0"/>
    </w:pPr>
    <w:rPr>
      <w:b/>
      <w:bCs/>
      <w:kern w:val="36"/>
      <w:sz w:val="44"/>
      <w:szCs w:val="44"/>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annotation text"/>
    <w:basedOn w:val="1"/>
    <w:qFormat/>
    <w:uiPriority w:val="0"/>
  </w:style>
  <w:style w:type="paragraph" w:styleId="4">
    <w:name w:val="Body Text"/>
    <w:basedOn w:val="1"/>
    <w:autoRedefine/>
    <w:qFormat/>
    <w:uiPriority w:val="1"/>
    <w:pPr>
      <w:ind w:left="118" w:firstLine="479"/>
    </w:pPr>
    <w:rPr>
      <w:sz w:val="24"/>
      <w:szCs w:val="24"/>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6">
    <w:name w:val="Normal (Web)"/>
    <w:basedOn w:val="1"/>
    <w:qFormat/>
    <w:uiPriority w:val="0"/>
    <w:pPr>
      <w:spacing w:beforeAutospacing="1" w:afterAutospacing="1"/>
    </w:pPr>
    <w:rPr>
      <w:rFonts w:cs="Times New Roman"/>
      <w:sz w:val="24"/>
      <w:lang w:val="en-US" w:bidi="ar-SA"/>
    </w:rPr>
  </w:style>
  <w:style w:type="character" w:styleId="9">
    <w:name w:val="annotation reference"/>
    <w:basedOn w:val="8"/>
    <w:uiPriority w:val="0"/>
    <w:rPr>
      <w:sz w:val="21"/>
      <w:szCs w:val="21"/>
    </w:rPr>
  </w:style>
  <w:style w:type="table" w:customStyle="1" w:styleId="10">
    <w:name w:val="Table Normal"/>
    <w:autoRedefine/>
    <w:semiHidden/>
    <w:unhideWhenUsed/>
    <w:qFormat/>
    <w:uiPriority w:val="2"/>
    <w:tblPr>
      <w:tblCellMar>
        <w:top w:w="0" w:type="dxa"/>
        <w:left w:w="0" w:type="dxa"/>
        <w:bottom w:w="0" w:type="dxa"/>
        <w:right w:w="0" w:type="dxa"/>
      </w:tblCellMar>
    </w:tblPr>
  </w:style>
  <w:style w:type="paragraph" w:styleId="11">
    <w:name w:val="List Paragraph"/>
    <w:basedOn w:val="1"/>
    <w:autoRedefine/>
    <w:qFormat/>
    <w:uiPriority w:val="1"/>
  </w:style>
  <w:style w:type="paragraph" w:customStyle="1" w:styleId="12">
    <w:name w:val="Table Paragraph"/>
    <w:basedOn w:val="1"/>
    <w:autoRedefine/>
    <w:qFormat/>
    <w:uiPriority w:val="1"/>
  </w:style>
  <w:style w:type="paragraph" w:customStyle="1" w:styleId="13">
    <w:name w:val="修订1"/>
    <w:hidden/>
    <w:unhideWhenUsed/>
    <w:qFormat/>
    <w:uiPriority w:val="99"/>
    <w:rPr>
      <w:rFonts w:ascii="宋体" w:hAnsi="宋体" w:eastAsia="宋体" w:cs="宋体"/>
      <w:sz w:val="22"/>
      <w:szCs w:val="22"/>
      <w:lang w:val="zh-CN" w:eastAsia="zh-CN" w:bidi="zh-CN"/>
    </w:rPr>
  </w:style>
  <w:style w:type="paragraph" w:customStyle="1" w:styleId="14">
    <w:name w:val="Revision"/>
    <w:hidden/>
    <w:unhideWhenUsed/>
    <w:uiPriority w:val="99"/>
    <w:rPr>
      <w:rFonts w:ascii="宋体" w:hAnsi="宋体" w:eastAsia="宋体" w:cs="宋体"/>
      <w:sz w:val="22"/>
      <w:szCs w:val="22"/>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3889</Words>
  <Characters>3890</Characters>
  <Lines>78</Lines>
  <Paragraphs>58</Paragraphs>
  <TotalTime>491</TotalTime>
  <ScaleCrop>false</ScaleCrop>
  <LinksUpToDate>false</LinksUpToDate>
  <CharactersWithSpaces>3961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2022-12-15T03:24:00Z</dcterms:created>
  <dc:creator>84688</dc:creator>
  <cp:lastModifiedBy>李群</cp:lastModifiedBy>
  <dcterms:modified xsi:type="dcterms:W3CDTF">2025-08-25T10:09:25Z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2014-09-11T00:00:00Z</vt:filetime>
  </property>
  <property fmtid="{D5CDD505-2E9C-101B-9397-08002B2CF9AE}" pid="3" name="Creator">
    <vt:lpwstr>Microsoft® Word 2010</vt:lpwstr>
  </property>
  <property fmtid="{D5CDD505-2E9C-101B-9397-08002B2CF9AE}" pid="4" name="LastSaved">
    <vt:filetime>2022-12-15T00:00:00Z</vt:filetime>
  </property>
  <property fmtid="{D5CDD505-2E9C-101B-9397-08002B2CF9AE}" pid="5" name="KSOProductBuildVer">
    <vt:lpwstr>2052-12.1.0.22529</vt:lpwstr>
  </property>
  <property fmtid="{D5CDD505-2E9C-101B-9397-08002B2CF9AE}" pid="6" name="ICV">
    <vt:lpwstr>8FDB64A949F64023A669E4583CE321E5</vt:lpwstr>
  </property>
  <property fmtid="{D5CDD505-2E9C-101B-9397-08002B2CF9AE}" pid="7" name="KSOTemplateDocerSaveRecord">
    <vt:lpwstr>eyJoZGlkIjoiYWRlOTk1ZDM4MjkzZjgxMjZiN2M3ZjNmNDQ5NGIzZGYiLCJ1c2VySWQiOiIzNDI3ODI2OTEifQ==</vt:lpwstr>
  </property>
</Properties>
</file>